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6B439" w14:textId="77777777" w:rsidR="000F7654" w:rsidRDefault="000F7654" w:rsidP="000F7654">
      <w:pPr>
        <w:jc w:val="both"/>
      </w:pPr>
    </w:p>
    <w:p w14:paraId="1DBCD6B6" w14:textId="77777777" w:rsidR="00A87B18" w:rsidRDefault="00A87B18" w:rsidP="000F7654">
      <w:pPr>
        <w:jc w:val="both"/>
      </w:pPr>
    </w:p>
    <w:p w14:paraId="7085BC16" w14:textId="77777777" w:rsidR="00A87B18" w:rsidRDefault="00A87B18" w:rsidP="000F7654">
      <w:pPr>
        <w:jc w:val="both"/>
      </w:pPr>
    </w:p>
    <w:p w14:paraId="558D8C21" w14:textId="77777777" w:rsidR="00A87B18" w:rsidRDefault="00A87B18" w:rsidP="000F7654">
      <w:pPr>
        <w:jc w:val="both"/>
      </w:pPr>
    </w:p>
    <w:p w14:paraId="3245BCCF" w14:textId="77777777" w:rsidR="00A87B18" w:rsidRDefault="00A87B18" w:rsidP="000F7654">
      <w:pPr>
        <w:jc w:val="both"/>
      </w:pPr>
    </w:p>
    <w:p w14:paraId="38691D7A" w14:textId="77777777" w:rsidR="00A87B18" w:rsidRDefault="00A87B18" w:rsidP="000F7654">
      <w:pPr>
        <w:jc w:val="both"/>
      </w:pPr>
    </w:p>
    <w:p w14:paraId="339CA7B7" w14:textId="77777777" w:rsidR="00A87B18" w:rsidRDefault="00A87B18" w:rsidP="000F7654">
      <w:pPr>
        <w:jc w:val="both"/>
      </w:pPr>
    </w:p>
    <w:p w14:paraId="1BDADB85" w14:textId="77777777" w:rsidR="00A87B18" w:rsidRDefault="00A87B18" w:rsidP="000F7654">
      <w:pPr>
        <w:jc w:val="both"/>
      </w:pPr>
    </w:p>
    <w:p w14:paraId="36242E18" w14:textId="77777777" w:rsidR="00A87B18" w:rsidRDefault="00A87B18" w:rsidP="000F7654">
      <w:pPr>
        <w:jc w:val="both"/>
      </w:pPr>
    </w:p>
    <w:p w14:paraId="25093213" w14:textId="13E85691" w:rsidR="00A87B18" w:rsidRDefault="00A87B18" w:rsidP="00A87B18">
      <w:pPr>
        <w:jc w:val="right"/>
        <w:rPr>
          <w:color w:val="4472C4" w:themeColor="accent1"/>
          <w:sz w:val="56"/>
          <w:szCs w:val="64"/>
        </w:rPr>
      </w:pPr>
      <w:r>
        <w:rPr>
          <w:color w:val="4472C4" w:themeColor="accent1"/>
          <w:sz w:val="56"/>
          <w:szCs w:val="64"/>
        </w:rPr>
        <w:t xml:space="preserve">Conflicts </w:t>
      </w:r>
      <w:r w:rsidR="00E817CF">
        <w:rPr>
          <w:color w:val="4472C4" w:themeColor="accent1"/>
          <w:sz w:val="56"/>
          <w:szCs w:val="64"/>
        </w:rPr>
        <w:t>o</w:t>
      </w:r>
      <w:r>
        <w:rPr>
          <w:color w:val="4472C4" w:themeColor="accent1"/>
          <w:sz w:val="56"/>
          <w:szCs w:val="64"/>
        </w:rPr>
        <w:t>f Interest Policy</w:t>
      </w:r>
    </w:p>
    <w:p w14:paraId="6CD2D732" w14:textId="3C0699BD" w:rsidR="00A87B18" w:rsidRPr="00A31763" w:rsidRDefault="00B93AB6" w:rsidP="00A87B18">
      <w:pPr>
        <w:jc w:val="right"/>
        <w:rPr>
          <w:color w:val="4472C4" w:themeColor="accent1"/>
          <w:sz w:val="56"/>
          <w:szCs w:val="64"/>
        </w:rPr>
      </w:pPr>
      <w:r>
        <w:rPr>
          <w:color w:val="4472C4" w:themeColor="accent1"/>
          <w:sz w:val="56"/>
          <w:szCs w:val="64"/>
        </w:rPr>
        <w:t>June</w:t>
      </w:r>
      <w:r w:rsidR="00A87B18">
        <w:rPr>
          <w:color w:val="4472C4" w:themeColor="accent1"/>
          <w:sz w:val="56"/>
          <w:szCs w:val="64"/>
        </w:rPr>
        <w:t xml:space="preserve"> 20</w:t>
      </w:r>
      <w:r w:rsidR="00BC3621">
        <w:rPr>
          <w:color w:val="4472C4" w:themeColor="accent1"/>
          <w:sz w:val="56"/>
          <w:szCs w:val="64"/>
        </w:rPr>
        <w:t>24</w:t>
      </w:r>
    </w:p>
    <w:p w14:paraId="6F968043" w14:textId="77777777" w:rsidR="00A87B18" w:rsidRDefault="00A87B18" w:rsidP="000F7654">
      <w:pPr>
        <w:jc w:val="both"/>
      </w:pPr>
    </w:p>
    <w:p w14:paraId="7BC38824" w14:textId="3C702901" w:rsidR="00A87B18" w:rsidRDefault="00A87B18" w:rsidP="00A87B18">
      <w:pPr>
        <w:jc w:val="right"/>
      </w:pPr>
      <w:r>
        <w:t xml:space="preserve">Version </w:t>
      </w:r>
      <w:r w:rsidR="00BC3621">
        <w:t>2</w:t>
      </w:r>
      <w:r>
        <w:t>.0</w:t>
      </w:r>
    </w:p>
    <w:p w14:paraId="174ACC62" w14:textId="77777777" w:rsidR="00A87B18" w:rsidRDefault="00A87B18" w:rsidP="000F7654">
      <w:pPr>
        <w:jc w:val="both"/>
      </w:pPr>
    </w:p>
    <w:p w14:paraId="2B8F9675" w14:textId="77777777" w:rsidR="00A87B18" w:rsidRDefault="00A87B18" w:rsidP="000F7654">
      <w:pPr>
        <w:jc w:val="both"/>
      </w:pPr>
    </w:p>
    <w:p w14:paraId="3E8BCB97" w14:textId="77777777" w:rsidR="00A87B18" w:rsidRDefault="00A87B18" w:rsidP="000F7654">
      <w:pPr>
        <w:jc w:val="both"/>
      </w:pPr>
    </w:p>
    <w:p w14:paraId="140E2578" w14:textId="77777777" w:rsidR="00A87B18" w:rsidRDefault="00A87B18" w:rsidP="000F7654">
      <w:pPr>
        <w:jc w:val="both"/>
      </w:pPr>
    </w:p>
    <w:p w14:paraId="7DC01640" w14:textId="77777777" w:rsidR="00A87B18" w:rsidRDefault="00A87B18" w:rsidP="000F7654">
      <w:pPr>
        <w:jc w:val="both"/>
      </w:pPr>
    </w:p>
    <w:p w14:paraId="4D229527" w14:textId="77777777" w:rsidR="00A87B18" w:rsidRDefault="00A87B18" w:rsidP="000F7654">
      <w:pPr>
        <w:jc w:val="both"/>
      </w:pPr>
    </w:p>
    <w:p w14:paraId="42C0D568" w14:textId="77777777" w:rsidR="00A87B18" w:rsidRDefault="00A87B18" w:rsidP="000F7654">
      <w:pPr>
        <w:jc w:val="both"/>
      </w:pPr>
    </w:p>
    <w:p w14:paraId="7AC7C142" w14:textId="77777777" w:rsidR="00A87B18" w:rsidRDefault="00A87B18" w:rsidP="000F7654">
      <w:pPr>
        <w:jc w:val="both"/>
      </w:pPr>
    </w:p>
    <w:p w14:paraId="5C4DEFF2" w14:textId="77777777" w:rsidR="00A87B18" w:rsidRDefault="00A87B18" w:rsidP="000F7654">
      <w:pPr>
        <w:jc w:val="both"/>
      </w:pPr>
    </w:p>
    <w:p w14:paraId="34FAF134" w14:textId="77777777" w:rsidR="00A87B18" w:rsidRDefault="00A87B18" w:rsidP="000F7654">
      <w:pPr>
        <w:jc w:val="both"/>
      </w:pPr>
    </w:p>
    <w:p w14:paraId="1A042D03" w14:textId="77777777" w:rsidR="00A87B18" w:rsidRDefault="00A87B18" w:rsidP="000F7654">
      <w:pPr>
        <w:jc w:val="both"/>
      </w:pPr>
    </w:p>
    <w:p w14:paraId="2D3F8CC1" w14:textId="77777777" w:rsidR="00A87B18" w:rsidRDefault="00A87B18" w:rsidP="000F7654">
      <w:pPr>
        <w:jc w:val="both"/>
      </w:pPr>
    </w:p>
    <w:p w14:paraId="7A079895" w14:textId="77777777" w:rsidR="00A87B18" w:rsidRDefault="00A87B18" w:rsidP="000F7654">
      <w:pPr>
        <w:jc w:val="both"/>
      </w:pPr>
    </w:p>
    <w:sdt>
      <w:sdtPr>
        <w:rPr>
          <w:rFonts w:ascii="Arial" w:hAnsi="Arial" w:cs="Arial"/>
        </w:rPr>
        <w:id w:val="-1248261498"/>
        <w:docPartObj>
          <w:docPartGallery w:val="Cover Pages"/>
          <w:docPartUnique/>
        </w:docPartObj>
      </w:sdtPr>
      <w:sdtEndPr>
        <w:rPr>
          <w:noProof/>
        </w:rPr>
      </w:sdtEndPr>
      <w:sdtContent>
        <w:p w14:paraId="10758F7B" w14:textId="77777777" w:rsidR="00A87B18" w:rsidRPr="00B17F44" w:rsidRDefault="00A87B18" w:rsidP="00A87B18">
          <w:pPr>
            <w:rPr>
              <w:rFonts w:ascii="Arial" w:hAnsi="Arial" w:cs="Arial"/>
            </w:rPr>
          </w:pPr>
        </w:p>
        <w:p w14:paraId="090E2533" w14:textId="77777777" w:rsidR="00A87B18" w:rsidRDefault="00A87B18" w:rsidP="00A87B18">
          <w:pPr>
            <w:pStyle w:val="Footer"/>
            <w:jc w:val="right"/>
          </w:pPr>
        </w:p>
        <w:p w14:paraId="7EB5BBE3" w14:textId="77777777" w:rsidR="00A87B18" w:rsidRDefault="00A87B18" w:rsidP="00A87B18">
          <w:pPr>
            <w:pStyle w:val="Footer"/>
            <w:jc w:val="right"/>
          </w:pPr>
        </w:p>
        <w:p w14:paraId="1CF5F3AB" w14:textId="77777777" w:rsidR="00A87B18" w:rsidRDefault="00A87B18" w:rsidP="00A87B18">
          <w:pPr>
            <w:pStyle w:val="Footer"/>
            <w:jc w:val="right"/>
          </w:pPr>
        </w:p>
        <w:p w14:paraId="4B6DFD01" w14:textId="1D63BAAE" w:rsidR="00A87B18" w:rsidRPr="00306E5B" w:rsidRDefault="0098617D" w:rsidP="00A87B18">
          <w:pPr>
            <w:pStyle w:val="Footer"/>
            <w:jc w:val="both"/>
            <w:rPr>
              <w:rFonts w:ascii="Arial" w:hAnsi="Arial" w:cs="Arial"/>
              <w:sz w:val="18"/>
            </w:rPr>
          </w:pPr>
        </w:p>
      </w:sdtContent>
    </w:sdt>
    <w:p w14:paraId="3EB92630" w14:textId="77777777" w:rsidR="00A87B18" w:rsidRDefault="00A87B18" w:rsidP="000F7654">
      <w:pPr>
        <w:jc w:val="both"/>
      </w:pPr>
    </w:p>
    <w:p w14:paraId="5FFADD9F" w14:textId="77777777" w:rsidR="00A87B18" w:rsidRPr="0005648C" w:rsidRDefault="00A87B18" w:rsidP="00A87B18">
      <w:pPr>
        <w:jc w:val="center"/>
        <w:rPr>
          <w:b/>
          <w:noProof/>
        </w:rPr>
      </w:pPr>
      <w:r w:rsidRPr="00306E5B">
        <w:rPr>
          <w:rFonts w:ascii="Arial" w:eastAsia="Arial" w:hAnsi="Arial" w:cs="Arial"/>
          <w:b/>
          <w:color w:val="146194"/>
          <w:sz w:val="24"/>
          <w:szCs w:val="20"/>
        </w:rPr>
        <w:t>Table of Contents</w:t>
      </w:r>
      <w:r>
        <w:rPr>
          <w:rFonts w:ascii="Arial" w:eastAsia="Arial" w:hAnsi="Arial" w:cs="Arial"/>
          <w:sz w:val="20"/>
          <w:szCs w:val="20"/>
        </w:rPr>
        <w:fldChar w:fldCharType="begin"/>
      </w:r>
      <w:r>
        <w:rPr>
          <w:rFonts w:ascii="Arial" w:eastAsia="Arial" w:hAnsi="Arial" w:cs="Arial"/>
          <w:sz w:val="20"/>
          <w:szCs w:val="20"/>
        </w:rPr>
        <w:instrText xml:space="preserve"> TOC \o "1-3" \h \z \u </w:instrText>
      </w:r>
      <w:r>
        <w:rPr>
          <w:rFonts w:ascii="Arial" w:eastAsia="Arial" w:hAnsi="Arial" w:cs="Arial"/>
          <w:sz w:val="20"/>
          <w:szCs w:val="20"/>
        </w:rPr>
        <w:fldChar w:fldCharType="separate"/>
      </w:r>
    </w:p>
    <w:p w14:paraId="361502F7" w14:textId="0EE95E85" w:rsidR="00A87B18" w:rsidRPr="0005648C" w:rsidRDefault="00A87B18" w:rsidP="0005648C">
      <w:pPr>
        <w:pStyle w:val="TOC1"/>
        <w:rPr>
          <w:rFonts w:asciiTheme="minorHAnsi" w:hAnsiTheme="minorHAnsi" w:cstheme="minorBidi"/>
          <w:b/>
          <w:sz w:val="22"/>
        </w:rPr>
      </w:pPr>
      <w:hyperlink w:anchor="_Toc445801404" w:history="1">
        <w:r w:rsidRPr="0005648C">
          <w:rPr>
            <w:rStyle w:val="Hyperlink"/>
            <w:rFonts w:eastAsia="Arial"/>
            <w:b/>
          </w:rPr>
          <w:t>1.</w:t>
        </w:r>
        <w:r w:rsidRPr="0005648C">
          <w:rPr>
            <w:rFonts w:asciiTheme="minorHAnsi" w:hAnsiTheme="minorHAnsi" w:cstheme="minorBidi"/>
            <w:b/>
            <w:sz w:val="22"/>
          </w:rPr>
          <w:tab/>
        </w:r>
        <w:r w:rsidRPr="0005648C">
          <w:rPr>
            <w:rStyle w:val="Hyperlink"/>
            <w:rFonts w:eastAsia="Arial"/>
            <w:b/>
          </w:rPr>
          <w:t>Introduction</w:t>
        </w:r>
        <w:r w:rsidR="00BE5EAB">
          <w:rPr>
            <w:rStyle w:val="Hyperlink"/>
            <w:rFonts w:eastAsia="Arial"/>
            <w:b/>
          </w:rPr>
          <w:t>………………………………………………………………………………………………</w:t>
        </w:r>
        <w:r w:rsidR="00E37FA6">
          <w:rPr>
            <w:rStyle w:val="Hyperlink"/>
            <w:rFonts w:eastAsia="Arial"/>
            <w:b/>
          </w:rPr>
          <w:t>.1</w:t>
        </w:r>
        <w:r w:rsidR="00BE5EAB">
          <w:rPr>
            <w:rStyle w:val="Hyperlink"/>
            <w:rFonts w:eastAsia="Arial"/>
            <w:b/>
          </w:rPr>
          <w:t xml:space="preserve">    </w:t>
        </w:r>
      </w:hyperlink>
    </w:p>
    <w:p w14:paraId="5F1F8E47" w14:textId="77777777" w:rsidR="00A87B18" w:rsidRPr="0005648C" w:rsidRDefault="00A87B18" w:rsidP="0005648C">
      <w:pPr>
        <w:pStyle w:val="TOC1"/>
        <w:rPr>
          <w:rFonts w:asciiTheme="minorHAnsi" w:hAnsiTheme="minorHAnsi" w:cstheme="minorBidi"/>
          <w:b/>
          <w:sz w:val="22"/>
        </w:rPr>
      </w:pPr>
      <w:hyperlink w:anchor="_Toc445801405" w:history="1">
        <w:r w:rsidRPr="0005648C">
          <w:rPr>
            <w:rStyle w:val="Hyperlink"/>
            <w:b/>
          </w:rPr>
          <w:t>2.</w:t>
        </w:r>
        <w:r w:rsidRPr="0005648C">
          <w:rPr>
            <w:rFonts w:asciiTheme="minorHAnsi" w:hAnsiTheme="minorHAnsi" w:cstheme="minorBidi"/>
            <w:b/>
            <w:sz w:val="22"/>
          </w:rPr>
          <w:tab/>
          <w:t>Management of Conflicts of Interest</w:t>
        </w:r>
        <w:r w:rsidRPr="0005648C">
          <w:rPr>
            <w:rFonts w:eastAsia="Arial"/>
            <w:b/>
            <w:szCs w:val="20"/>
          </w:rPr>
          <w:t xml:space="preserve">  </w:t>
        </w:r>
        <w:r w:rsidRPr="0005648C">
          <w:rPr>
            <w:b/>
            <w:webHidden/>
          </w:rPr>
          <w:tab/>
        </w:r>
        <w:r w:rsidR="0005648C">
          <w:rPr>
            <w:b/>
            <w:webHidden/>
          </w:rPr>
          <w:t>3</w:t>
        </w:r>
      </w:hyperlink>
    </w:p>
    <w:p w14:paraId="58A21DBF" w14:textId="77777777" w:rsidR="00A87B18" w:rsidRPr="0005648C" w:rsidRDefault="00A87B18" w:rsidP="0005648C">
      <w:pPr>
        <w:pStyle w:val="TOC1"/>
        <w:rPr>
          <w:rFonts w:asciiTheme="minorHAnsi" w:hAnsiTheme="minorHAnsi" w:cstheme="minorBidi"/>
          <w:b/>
          <w:sz w:val="22"/>
        </w:rPr>
      </w:pPr>
      <w:hyperlink w:anchor="_Toc445801406" w:history="1">
        <w:r w:rsidRPr="0005648C">
          <w:rPr>
            <w:rStyle w:val="Hyperlink"/>
            <w:b/>
          </w:rPr>
          <w:t>3.</w:t>
        </w:r>
        <w:r w:rsidRPr="0005648C">
          <w:rPr>
            <w:rFonts w:asciiTheme="minorHAnsi" w:hAnsiTheme="minorHAnsi" w:cstheme="minorBidi"/>
            <w:b/>
            <w:sz w:val="22"/>
          </w:rPr>
          <w:tab/>
        </w:r>
        <w:r w:rsidRPr="0005648C">
          <w:rPr>
            <w:rStyle w:val="Hyperlink"/>
            <w:b/>
          </w:rPr>
          <w:t>Identification of Conflicts of Interest</w:t>
        </w:r>
        <w:r w:rsidRPr="0005648C">
          <w:rPr>
            <w:b/>
            <w:webHidden/>
          </w:rPr>
          <w:tab/>
        </w:r>
        <w:r w:rsidR="0005648C">
          <w:rPr>
            <w:b/>
            <w:webHidden/>
          </w:rPr>
          <w:t>3</w:t>
        </w:r>
      </w:hyperlink>
    </w:p>
    <w:p w14:paraId="5E5C0E10" w14:textId="77777777" w:rsidR="00A87B18" w:rsidRPr="0005648C" w:rsidRDefault="00A87B18" w:rsidP="0005648C">
      <w:pPr>
        <w:pStyle w:val="TOC1"/>
        <w:rPr>
          <w:rFonts w:asciiTheme="minorHAnsi" w:hAnsiTheme="minorHAnsi" w:cstheme="minorBidi"/>
          <w:b/>
          <w:sz w:val="22"/>
        </w:rPr>
      </w:pPr>
      <w:hyperlink w:anchor="_Toc445801407" w:history="1">
        <w:r w:rsidRPr="0005648C">
          <w:rPr>
            <w:rStyle w:val="Hyperlink"/>
            <w:b/>
          </w:rPr>
          <w:t>4.</w:t>
        </w:r>
        <w:r w:rsidRPr="0005648C">
          <w:rPr>
            <w:rFonts w:asciiTheme="minorHAnsi" w:hAnsiTheme="minorHAnsi" w:cstheme="minorBidi"/>
            <w:b/>
            <w:sz w:val="22"/>
          </w:rPr>
          <w:tab/>
        </w:r>
        <w:r w:rsidR="0005648C" w:rsidRPr="0005648C">
          <w:rPr>
            <w:rStyle w:val="Hyperlink"/>
            <w:b/>
          </w:rPr>
          <w:t>Client Notification</w:t>
        </w:r>
        <w:r w:rsidRPr="0005648C">
          <w:rPr>
            <w:b/>
            <w:webHidden/>
          </w:rPr>
          <w:tab/>
        </w:r>
        <w:r w:rsidR="0005648C">
          <w:rPr>
            <w:b/>
            <w:webHidden/>
          </w:rPr>
          <w:t>4</w:t>
        </w:r>
      </w:hyperlink>
    </w:p>
    <w:p w14:paraId="0C946850" w14:textId="77777777" w:rsidR="00A87B18" w:rsidRPr="0005648C" w:rsidRDefault="00A87B18" w:rsidP="0005648C">
      <w:pPr>
        <w:pStyle w:val="TOC1"/>
        <w:rPr>
          <w:rFonts w:asciiTheme="minorHAnsi" w:hAnsiTheme="minorHAnsi" w:cstheme="minorBidi"/>
          <w:b/>
          <w:sz w:val="22"/>
        </w:rPr>
      </w:pPr>
      <w:hyperlink w:anchor="_Toc445801408" w:history="1">
        <w:r w:rsidRPr="0005648C">
          <w:rPr>
            <w:rStyle w:val="Hyperlink"/>
            <w:b/>
          </w:rPr>
          <w:t>5.</w:t>
        </w:r>
        <w:r w:rsidRPr="0005648C">
          <w:rPr>
            <w:rFonts w:asciiTheme="minorHAnsi" w:hAnsiTheme="minorHAnsi" w:cstheme="minorBidi"/>
            <w:b/>
            <w:sz w:val="22"/>
          </w:rPr>
          <w:tab/>
        </w:r>
        <w:r w:rsidR="0005648C" w:rsidRPr="0005648C">
          <w:rPr>
            <w:rStyle w:val="Hyperlink"/>
            <w:b/>
          </w:rPr>
          <w:t>Review of Conflicts</w:t>
        </w:r>
        <w:r w:rsidRPr="0005648C">
          <w:rPr>
            <w:b/>
            <w:webHidden/>
          </w:rPr>
          <w:tab/>
        </w:r>
        <w:r w:rsidR="0005648C">
          <w:rPr>
            <w:b/>
            <w:webHidden/>
          </w:rPr>
          <w:t>4</w:t>
        </w:r>
      </w:hyperlink>
    </w:p>
    <w:p w14:paraId="34727924" w14:textId="77777777" w:rsidR="00A87B18" w:rsidRPr="0005648C" w:rsidRDefault="00A87B18" w:rsidP="0005648C">
      <w:pPr>
        <w:pStyle w:val="TOC1"/>
        <w:rPr>
          <w:rFonts w:asciiTheme="minorHAnsi" w:hAnsiTheme="minorHAnsi" w:cstheme="minorBidi"/>
          <w:b/>
          <w:sz w:val="22"/>
        </w:rPr>
      </w:pPr>
      <w:hyperlink w:anchor="_Toc445801409" w:history="1">
        <w:r w:rsidRPr="0005648C">
          <w:rPr>
            <w:rStyle w:val="Hyperlink"/>
            <w:b/>
          </w:rPr>
          <w:t>6.</w:t>
        </w:r>
        <w:r w:rsidRPr="0005648C">
          <w:rPr>
            <w:rFonts w:asciiTheme="minorHAnsi" w:hAnsiTheme="minorHAnsi" w:cstheme="minorBidi"/>
            <w:b/>
            <w:sz w:val="22"/>
          </w:rPr>
          <w:tab/>
        </w:r>
        <w:r w:rsidR="0005648C" w:rsidRPr="0005648C">
          <w:rPr>
            <w:rFonts w:asciiTheme="minorHAnsi" w:hAnsiTheme="minorHAnsi" w:cstheme="minorBidi"/>
            <w:b/>
            <w:sz w:val="22"/>
          </w:rPr>
          <w:t>Disclsoing Conflicts</w:t>
        </w:r>
        <w:r w:rsidRPr="0005648C">
          <w:rPr>
            <w:b/>
            <w:webHidden/>
          </w:rPr>
          <w:tab/>
        </w:r>
        <w:r w:rsidR="0005648C">
          <w:rPr>
            <w:b/>
            <w:webHidden/>
          </w:rPr>
          <w:t>4</w:t>
        </w:r>
      </w:hyperlink>
    </w:p>
    <w:p w14:paraId="269E16C6" w14:textId="77777777" w:rsidR="00A87B18" w:rsidRPr="0005648C" w:rsidRDefault="00A87B18" w:rsidP="0005648C">
      <w:pPr>
        <w:pStyle w:val="TOC1"/>
        <w:rPr>
          <w:rFonts w:asciiTheme="minorHAnsi" w:hAnsiTheme="minorHAnsi" w:cstheme="minorBidi"/>
          <w:b/>
          <w:sz w:val="22"/>
        </w:rPr>
      </w:pPr>
      <w:hyperlink w:anchor="_Toc445801410" w:history="1">
        <w:r w:rsidRPr="0005648C">
          <w:rPr>
            <w:rStyle w:val="Hyperlink"/>
            <w:b/>
          </w:rPr>
          <w:t>7.</w:t>
        </w:r>
        <w:r w:rsidRPr="0005648C">
          <w:rPr>
            <w:rFonts w:asciiTheme="minorHAnsi" w:hAnsiTheme="minorHAnsi" w:cstheme="minorBidi"/>
            <w:b/>
            <w:sz w:val="22"/>
          </w:rPr>
          <w:tab/>
        </w:r>
        <w:r w:rsidR="0005648C" w:rsidRPr="0005648C">
          <w:rPr>
            <w:rStyle w:val="Hyperlink"/>
            <w:b/>
          </w:rPr>
          <w:t>Independence Policy</w:t>
        </w:r>
        <w:r w:rsidRPr="0005648C">
          <w:rPr>
            <w:b/>
            <w:webHidden/>
          </w:rPr>
          <w:tab/>
        </w:r>
        <w:r w:rsidR="0005648C">
          <w:rPr>
            <w:b/>
            <w:webHidden/>
          </w:rPr>
          <w:t>5</w:t>
        </w:r>
      </w:hyperlink>
    </w:p>
    <w:p w14:paraId="19DC625A" w14:textId="77777777" w:rsidR="00A87B18" w:rsidRPr="0005648C" w:rsidRDefault="00A87B18" w:rsidP="0005648C">
      <w:pPr>
        <w:pStyle w:val="TOC1"/>
        <w:rPr>
          <w:rFonts w:asciiTheme="minorHAnsi" w:hAnsiTheme="minorHAnsi" w:cstheme="minorBidi"/>
          <w:b/>
          <w:sz w:val="22"/>
        </w:rPr>
      </w:pPr>
      <w:hyperlink w:anchor="_Toc445801411" w:history="1">
        <w:r w:rsidRPr="0005648C">
          <w:rPr>
            <w:rStyle w:val="Hyperlink"/>
            <w:b/>
          </w:rPr>
          <w:t>8.</w:t>
        </w:r>
        <w:r w:rsidRPr="0005648C">
          <w:rPr>
            <w:rFonts w:asciiTheme="minorHAnsi" w:hAnsiTheme="minorHAnsi" w:cstheme="minorBidi"/>
            <w:b/>
            <w:sz w:val="22"/>
          </w:rPr>
          <w:tab/>
        </w:r>
        <w:r w:rsidR="0005648C" w:rsidRPr="0005648C">
          <w:rPr>
            <w:rStyle w:val="Hyperlink"/>
            <w:b/>
          </w:rPr>
          <w:t>Refusing to Act</w:t>
        </w:r>
        <w:r w:rsidRPr="0005648C">
          <w:rPr>
            <w:b/>
            <w:webHidden/>
          </w:rPr>
          <w:tab/>
        </w:r>
        <w:r w:rsidR="0005648C">
          <w:rPr>
            <w:b/>
            <w:webHidden/>
          </w:rPr>
          <w:t>5</w:t>
        </w:r>
      </w:hyperlink>
    </w:p>
    <w:p w14:paraId="36B5E7EB" w14:textId="77777777" w:rsidR="00A87B18" w:rsidRPr="0005648C" w:rsidRDefault="00A87B18" w:rsidP="0005648C">
      <w:pPr>
        <w:pStyle w:val="TOC1"/>
        <w:rPr>
          <w:rFonts w:asciiTheme="minorHAnsi" w:hAnsiTheme="minorHAnsi" w:cstheme="minorBidi"/>
          <w:b/>
          <w:sz w:val="22"/>
        </w:rPr>
      </w:pPr>
      <w:hyperlink w:anchor="_Toc445801412" w:history="1">
        <w:r w:rsidRPr="0005648C">
          <w:rPr>
            <w:rStyle w:val="Hyperlink"/>
            <w:b/>
          </w:rPr>
          <w:t>9.</w:t>
        </w:r>
        <w:r w:rsidRPr="0005648C">
          <w:rPr>
            <w:rFonts w:asciiTheme="minorHAnsi" w:hAnsiTheme="minorHAnsi" w:cstheme="minorBidi"/>
            <w:b/>
            <w:sz w:val="22"/>
          </w:rPr>
          <w:tab/>
        </w:r>
        <w:r w:rsidR="0005648C" w:rsidRPr="0005648C">
          <w:rPr>
            <w:rStyle w:val="Hyperlink"/>
            <w:b/>
          </w:rPr>
          <w:t>Disclosure of Outside Business Interests</w:t>
        </w:r>
        <w:r w:rsidRPr="0005648C">
          <w:rPr>
            <w:b/>
            <w:webHidden/>
          </w:rPr>
          <w:tab/>
        </w:r>
        <w:r w:rsidR="0005648C">
          <w:rPr>
            <w:b/>
            <w:webHidden/>
          </w:rPr>
          <w:t>5</w:t>
        </w:r>
      </w:hyperlink>
    </w:p>
    <w:p w14:paraId="7B8EF84F" w14:textId="77777777" w:rsidR="00A87B18" w:rsidRPr="0005648C" w:rsidRDefault="00A87B18" w:rsidP="0005648C">
      <w:pPr>
        <w:pStyle w:val="TOC1"/>
        <w:rPr>
          <w:rFonts w:asciiTheme="minorHAnsi" w:hAnsiTheme="minorHAnsi" w:cstheme="minorBidi"/>
          <w:b/>
          <w:sz w:val="22"/>
        </w:rPr>
      </w:pPr>
      <w:hyperlink w:anchor="_Toc445801413" w:history="1">
        <w:r w:rsidRPr="0005648C">
          <w:rPr>
            <w:rStyle w:val="Hyperlink"/>
            <w:b/>
          </w:rPr>
          <w:t>10.</w:t>
        </w:r>
        <w:r w:rsidR="0005648C" w:rsidRPr="0005648C">
          <w:rPr>
            <w:rFonts w:asciiTheme="minorHAnsi" w:hAnsiTheme="minorHAnsi" w:cstheme="minorBidi"/>
            <w:b/>
            <w:sz w:val="22"/>
          </w:rPr>
          <w:t xml:space="preserve"> Responsibility for Identifying and Manageing Conflicts</w:t>
        </w:r>
        <w:r w:rsidRPr="0005648C">
          <w:rPr>
            <w:b/>
            <w:webHidden/>
          </w:rPr>
          <w:tab/>
        </w:r>
        <w:r w:rsidR="0005648C">
          <w:rPr>
            <w:b/>
            <w:webHidden/>
          </w:rPr>
          <w:t>5</w:t>
        </w:r>
      </w:hyperlink>
    </w:p>
    <w:p w14:paraId="36D8FC04" w14:textId="77777777" w:rsidR="00A87B18" w:rsidRPr="0005648C" w:rsidRDefault="00A87B18" w:rsidP="0005648C">
      <w:pPr>
        <w:pStyle w:val="TOC1"/>
        <w:rPr>
          <w:rFonts w:asciiTheme="minorHAnsi" w:hAnsiTheme="minorHAnsi" w:cstheme="minorBidi"/>
          <w:b/>
          <w:sz w:val="22"/>
        </w:rPr>
      </w:pPr>
      <w:hyperlink w:anchor="_Toc445801414" w:history="1">
        <w:r w:rsidRPr="0005648C">
          <w:rPr>
            <w:rStyle w:val="Hyperlink"/>
            <w:b/>
          </w:rPr>
          <w:t>11.</w:t>
        </w:r>
        <w:r w:rsidRPr="0005648C">
          <w:rPr>
            <w:rFonts w:asciiTheme="minorHAnsi" w:hAnsiTheme="minorHAnsi" w:cstheme="minorBidi"/>
            <w:b/>
            <w:sz w:val="22"/>
          </w:rPr>
          <w:tab/>
        </w:r>
        <w:r w:rsidR="0005648C" w:rsidRPr="0005648C">
          <w:rPr>
            <w:rStyle w:val="Hyperlink"/>
            <w:b/>
          </w:rPr>
          <w:t>Chinese Walls</w:t>
        </w:r>
        <w:r w:rsidRPr="0005648C">
          <w:rPr>
            <w:b/>
            <w:webHidden/>
          </w:rPr>
          <w:tab/>
        </w:r>
        <w:r w:rsidR="009A0A3F">
          <w:rPr>
            <w:b/>
            <w:webHidden/>
          </w:rPr>
          <w:t>6</w:t>
        </w:r>
      </w:hyperlink>
    </w:p>
    <w:p w14:paraId="3D48EF1C" w14:textId="77777777" w:rsidR="00A87B18" w:rsidRPr="0005648C" w:rsidRDefault="00A87B18" w:rsidP="0005648C">
      <w:pPr>
        <w:pStyle w:val="TOC1"/>
        <w:rPr>
          <w:rFonts w:asciiTheme="minorHAnsi" w:hAnsiTheme="minorHAnsi" w:cstheme="minorBidi"/>
          <w:b/>
          <w:sz w:val="22"/>
        </w:rPr>
      </w:pPr>
      <w:hyperlink w:anchor="_Toc445801415" w:history="1">
        <w:r w:rsidRPr="0005648C">
          <w:rPr>
            <w:rStyle w:val="Hyperlink"/>
            <w:b/>
          </w:rPr>
          <w:t>12.</w:t>
        </w:r>
        <w:r w:rsidRPr="0005648C">
          <w:rPr>
            <w:rFonts w:asciiTheme="minorHAnsi" w:hAnsiTheme="minorHAnsi" w:cstheme="minorBidi"/>
            <w:b/>
            <w:sz w:val="22"/>
          </w:rPr>
          <w:tab/>
        </w:r>
        <w:r w:rsidR="0005648C" w:rsidRPr="0005648C">
          <w:rPr>
            <w:rStyle w:val="Hyperlink"/>
            <w:b/>
          </w:rPr>
          <w:t>Inappropriate Influences</w:t>
        </w:r>
        <w:r w:rsidRPr="0005648C">
          <w:rPr>
            <w:b/>
            <w:webHidden/>
          </w:rPr>
          <w:tab/>
        </w:r>
        <w:r w:rsidR="009A0A3F">
          <w:rPr>
            <w:b/>
            <w:webHidden/>
          </w:rPr>
          <w:t>6</w:t>
        </w:r>
      </w:hyperlink>
    </w:p>
    <w:p w14:paraId="3209CDDA" w14:textId="77777777" w:rsidR="00A87B18" w:rsidRPr="0005648C" w:rsidRDefault="00A87B18" w:rsidP="0005648C">
      <w:pPr>
        <w:pStyle w:val="TOC1"/>
        <w:rPr>
          <w:b/>
        </w:rPr>
      </w:pPr>
      <w:hyperlink w:anchor="_Toc445801416" w:history="1">
        <w:r w:rsidRPr="0005648C">
          <w:rPr>
            <w:rStyle w:val="Hyperlink"/>
            <w:b/>
          </w:rPr>
          <w:t>13.</w:t>
        </w:r>
        <w:r w:rsidRPr="0005648C">
          <w:rPr>
            <w:rFonts w:asciiTheme="minorHAnsi" w:hAnsiTheme="minorHAnsi" w:cstheme="minorBidi"/>
            <w:b/>
            <w:sz w:val="22"/>
          </w:rPr>
          <w:tab/>
        </w:r>
        <w:r w:rsidR="0005648C" w:rsidRPr="0005648C">
          <w:rPr>
            <w:rStyle w:val="Hyperlink"/>
            <w:b/>
          </w:rPr>
          <w:t>Monitoring Conflicts</w:t>
        </w:r>
        <w:r w:rsidRPr="0005648C">
          <w:rPr>
            <w:b/>
            <w:webHidden/>
          </w:rPr>
          <w:tab/>
        </w:r>
        <w:r w:rsidR="009A0A3F">
          <w:rPr>
            <w:b/>
            <w:webHidden/>
          </w:rPr>
          <w:t>6</w:t>
        </w:r>
      </w:hyperlink>
    </w:p>
    <w:p w14:paraId="3D2B0561" w14:textId="577FABD7" w:rsidR="0005648C" w:rsidRPr="0005648C" w:rsidRDefault="0005648C" w:rsidP="0005648C">
      <w:pPr>
        <w:pStyle w:val="TOC1"/>
        <w:rPr>
          <w:b/>
        </w:rPr>
      </w:pPr>
      <w:hyperlink w:anchor="_Toc445801416" w:history="1">
        <w:r w:rsidRPr="0005648C">
          <w:rPr>
            <w:rStyle w:val="Hyperlink"/>
            <w:b/>
          </w:rPr>
          <w:t>1</w:t>
        </w:r>
        <w:r w:rsidR="0086261C">
          <w:rPr>
            <w:rStyle w:val="Hyperlink"/>
            <w:b/>
          </w:rPr>
          <w:t>4</w:t>
        </w:r>
        <w:r w:rsidRPr="0005648C">
          <w:rPr>
            <w:rStyle w:val="Hyperlink"/>
            <w:b/>
          </w:rPr>
          <w:t>.</w:t>
        </w:r>
        <w:r w:rsidRPr="0005648C">
          <w:rPr>
            <w:rFonts w:asciiTheme="minorHAnsi" w:hAnsiTheme="minorHAnsi" w:cstheme="minorBidi"/>
            <w:b/>
            <w:sz w:val="22"/>
          </w:rPr>
          <w:tab/>
        </w:r>
        <w:r w:rsidRPr="0005648C">
          <w:rPr>
            <w:rStyle w:val="Hyperlink"/>
            <w:b/>
          </w:rPr>
          <w:t>Inducements</w:t>
        </w:r>
        <w:r w:rsidRPr="0005648C">
          <w:rPr>
            <w:b/>
            <w:webHidden/>
          </w:rPr>
          <w:tab/>
        </w:r>
        <w:r w:rsidR="009A0A3F">
          <w:rPr>
            <w:b/>
            <w:webHidden/>
          </w:rPr>
          <w:t>6</w:t>
        </w:r>
      </w:hyperlink>
    </w:p>
    <w:p w14:paraId="367A2445" w14:textId="38135D3D" w:rsidR="0005648C" w:rsidRPr="0005648C" w:rsidRDefault="0005648C" w:rsidP="0005648C">
      <w:pPr>
        <w:pStyle w:val="TOC1"/>
        <w:rPr>
          <w:b/>
        </w:rPr>
      </w:pPr>
      <w:hyperlink w:anchor="_Toc445801416" w:history="1">
        <w:r w:rsidRPr="0005648C">
          <w:rPr>
            <w:rStyle w:val="Hyperlink"/>
            <w:b/>
          </w:rPr>
          <w:t>1</w:t>
        </w:r>
        <w:r w:rsidR="0086261C">
          <w:rPr>
            <w:rStyle w:val="Hyperlink"/>
            <w:b/>
          </w:rPr>
          <w:t>5</w:t>
        </w:r>
        <w:r w:rsidRPr="0005648C">
          <w:rPr>
            <w:rStyle w:val="Hyperlink"/>
            <w:b/>
          </w:rPr>
          <w:t>.</w:t>
        </w:r>
        <w:r w:rsidRPr="0005648C">
          <w:rPr>
            <w:rFonts w:asciiTheme="minorHAnsi" w:hAnsiTheme="minorHAnsi" w:cstheme="minorBidi"/>
            <w:b/>
            <w:sz w:val="22"/>
          </w:rPr>
          <w:tab/>
          <w:t>P A Dealing</w:t>
        </w:r>
        <w:r w:rsidRPr="0005648C">
          <w:rPr>
            <w:b/>
            <w:webHidden/>
          </w:rPr>
          <w:tab/>
        </w:r>
        <w:r w:rsidR="009A0A3F">
          <w:rPr>
            <w:b/>
            <w:webHidden/>
          </w:rPr>
          <w:t>6</w:t>
        </w:r>
      </w:hyperlink>
    </w:p>
    <w:p w14:paraId="06CE303B" w14:textId="74B57CB9" w:rsidR="0005648C" w:rsidRDefault="0005648C" w:rsidP="0005648C">
      <w:pPr>
        <w:pStyle w:val="TOC1"/>
      </w:pPr>
    </w:p>
    <w:p w14:paraId="2F1CEDA6" w14:textId="77777777" w:rsidR="00A87B18" w:rsidRDefault="00A87B18" w:rsidP="0005648C">
      <w:pPr>
        <w:pStyle w:val="TOC1"/>
        <w:rPr>
          <w:rFonts w:asciiTheme="minorHAnsi" w:hAnsiTheme="minorHAnsi" w:cstheme="minorBidi"/>
          <w:sz w:val="22"/>
        </w:rPr>
      </w:pPr>
      <w:hyperlink w:anchor="_Toc445801417" w:history="1">
        <w:r w:rsidRPr="008D4FF4">
          <w:rPr>
            <w:rStyle w:val="Hyperlink"/>
            <w:b/>
            <w:bCs/>
          </w:rPr>
          <w:t>Appendix 1</w:t>
        </w:r>
        <w:r>
          <w:rPr>
            <w:webHidden/>
          </w:rPr>
          <w:tab/>
        </w:r>
        <w:r w:rsidR="009A0A3F">
          <w:rPr>
            <w:webHidden/>
          </w:rPr>
          <w:t>7</w:t>
        </w:r>
      </w:hyperlink>
    </w:p>
    <w:p w14:paraId="03D5C536" w14:textId="77777777" w:rsidR="00A87B18" w:rsidRDefault="00A87B18" w:rsidP="00A87B18">
      <w:pPr>
        <w:jc w:val="both"/>
      </w:pPr>
      <w:r>
        <w:rPr>
          <w:rFonts w:ascii="Arial" w:eastAsia="Arial" w:hAnsi="Arial" w:cs="Arial"/>
          <w:sz w:val="20"/>
          <w:szCs w:val="20"/>
        </w:rPr>
        <w:fldChar w:fldCharType="end"/>
      </w:r>
    </w:p>
    <w:p w14:paraId="3AFB5C2B" w14:textId="77777777" w:rsidR="00A87B18" w:rsidRDefault="00A87B18" w:rsidP="000F7654">
      <w:pPr>
        <w:jc w:val="both"/>
      </w:pPr>
    </w:p>
    <w:p w14:paraId="580BB643" w14:textId="77777777" w:rsidR="00A87B18" w:rsidRDefault="00A87B18" w:rsidP="000F7654">
      <w:pPr>
        <w:jc w:val="both"/>
      </w:pPr>
    </w:p>
    <w:p w14:paraId="545BFD9B" w14:textId="77777777" w:rsidR="00A87B18" w:rsidRDefault="00A87B18" w:rsidP="000F7654">
      <w:pPr>
        <w:jc w:val="both"/>
      </w:pPr>
    </w:p>
    <w:p w14:paraId="681D1845" w14:textId="77777777" w:rsidR="00A87B18" w:rsidRDefault="00A87B18" w:rsidP="000F7654">
      <w:pPr>
        <w:jc w:val="both"/>
      </w:pPr>
    </w:p>
    <w:p w14:paraId="3F38FDA9" w14:textId="77777777" w:rsidR="00A87B18" w:rsidRDefault="00A87B18" w:rsidP="000F7654">
      <w:pPr>
        <w:jc w:val="both"/>
      </w:pPr>
    </w:p>
    <w:p w14:paraId="08681A22" w14:textId="77777777" w:rsidR="0005648C" w:rsidRDefault="0005648C" w:rsidP="000F7654">
      <w:pPr>
        <w:jc w:val="both"/>
      </w:pPr>
    </w:p>
    <w:p w14:paraId="1CBF46BF" w14:textId="77777777" w:rsidR="0005648C" w:rsidRDefault="0005648C" w:rsidP="000F7654">
      <w:pPr>
        <w:jc w:val="both"/>
      </w:pPr>
    </w:p>
    <w:p w14:paraId="7109D04C" w14:textId="77777777" w:rsidR="0005648C" w:rsidRDefault="0005648C" w:rsidP="000F7654">
      <w:pPr>
        <w:jc w:val="both"/>
      </w:pPr>
    </w:p>
    <w:p w14:paraId="2088D551" w14:textId="77777777" w:rsidR="0005648C" w:rsidRDefault="0005648C" w:rsidP="000F7654">
      <w:pPr>
        <w:jc w:val="both"/>
      </w:pPr>
    </w:p>
    <w:p w14:paraId="3C6C58DF" w14:textId="77777777" w:rsidR="00A87B18" w:rsidRPr="000F7654" w:rsidRDefault="00A87B18" w:rsidP="000F7654">
      <w:pPr>
        <w:jc w:val="both"/>
      </w:pPr>
    </w:p>
    <w:p w14:paraId="239A31B0" w14:textId="77777777" w:rsidR="000F7654" w:rsidRPr="007051DA" w:rsidRDefault="000F7654" w:rsidP="000F7654">
      <w:pPr>
        <w:pStyle w:val="Heading2"/>
        <w:rPr>
          <w:rFonts w:ascii="Berlin Sans FB Demi" w:eastAsia="Times New Roman" w:hAnsi="Berlin Sans FB Demi" w:cs="Times New Roman"/>
          <w:b w:val="0"/>
          <w:bCs w:val="0"/>
          <w:color w:val="2F5496" w:themeColor="accent1" w:themeShade="BF"/>
          <w:sz w:val="36"/>
          <w:szCs w:val="36"/>
        </w:rPr>
      </w:pPr>
      <w:r w:rsidRPr="007051DA">
        <w:rPr>
          <w:rFonts w:ascii="Berlin Sans FB Demi" w:eastAsia="Times New Roman" w:hAnsi="Berlin Sans FB Demi" w:cs="Times New Roman"/>
          <w:b w:val="0"/>
          <w:bCs w:val="0"/>
          <w:color w:val="2F5496" w:themeColor="accent1" w:themeShade="BF"/>
          <w:sz w:val="36"/>
          <w:szCs w:val="36"/>
        </w:rPr>
        <w:t>Introduction</w:t>
      </w:r>
    </w:p>
    <w:p w14:paraId="6D70FC22" w14:textId="77777777" w:rsidR="000F7654" w:rsidRPr="000F7654" w:rsidRDefault="000F7654" w:rsidP="000F7654">
      <w:pPr>
        <w:jc w:val="both"/>
        <w:rPr>
          <w:sz w:val="20"/>
          <w:szCs w:val="20"/>
        </w:rPr>
      </w:pPr>
      <w:r w:rsidRPr="000F7654">
        <w:rPr>
          <w:sz w:val="20"/>
          <w:szCs w:val="20"/>
        </w:rPr>
        <w:t xml:space="preserve">Under guidance from our regulator and in accordance with the </w:t>
      </w:r>
      <w:r>
        <w:rPr>
          <w:sz w:val="20"/>
          <w:szCs w:val="20"/>
        </w:rPr>
        <w:t>FCA</w:t>
      </w:r>
      <w:r w:rsidRPr="000F7654">
        <w:rPr>
          <w:sz w:val="20"/>
          <w:szCs w:val="20"/>
        </w:rPr>
        <w:t xml:space="preserve">’s Principles for Businesses </w:t>
      </w:r>
      <w:r w:rsidR="00BE4FAA">
        <w:rPr>
          <w:sz w:val="20"/>
          <w:szCs w:val="20"/>
        </w:rPr>
        <w:t xml:space="preserve">Zodiac </w:t>
      </w:r>
      <w:r w:rsidRPr="000F7654">
        <w:rPr>
          <w:sz w:val="20"/>
          <w:szCs w:val="20"/>
        </w:rPr>
        <w:t xml:space="preserve">is required to manage conflicts of interest fairly, both between itself and its customers and between customers.  </w:t>
      </w:r>
    </w:p>
    <w:p w14:paraId="2285A455" w14:textId="77777777" w:rsidR="000F7654" w:rsidRPr="000F7654" w:rsidRDefault="000F7654" w:rsidP="000F7654">
      <w:pPr>
        <w:jc w:val="both"/>
        <w:rPr>
          <w:sz w:val="20"/>
          <w:szCs w:val="20"/>
        </w:rPr>
      </w:pPr>
      <w:r w:rsidRPr="000F7654">
        <w:rPr>
          <w:sz w:val="20"/>
          <w:szCs w:val="20"/>
        </w:rPr>
        <w:t xml:space="preserve">It is important that </w:t>
      </w:r>
      <w:r w:rsidR="00BE4FAA">
        <w:rPr>
          <w:sz w:val="20"/>
          <w:szCs w:val="20"/>
        </w:rPr>
        <w:t>Zodiac</w:t>
      </w:r>
      <w:r w:rsidRPr="000F7654">
        <w:rPr>
          <w:sz w:val="20"/>
          <w:szCs w:val="20"/>
        </w:rPr>
        <w:t xml:space="preserve">, and any employee (or contractor) acting on behalf of the company, avoids any situation where there is or may appear to be a conflict of interest between </w:t>
      </w:r>
      <w:r w:rsidR="00BE4FAA">
        <w:rPr>
          <w:sz w:val="20"/>
          <w:szCs w:val="20"/>
        </w:rPr>
        <w:t xml:space="preserve">Zodiac </w:t>
      </w:r>
      <w:r w:rsidRPr="000F7654">
        <w:rPr>
          <w:sz w:val="20"/>
          <w:szCs w:val="20"/>
        </w:rPr>
        <w:t xml:space="preserve">and its customers or between customers themselves. </w:t>
      </w:r>
    </w:p>
    <w:p w14:paraId="7BFE0DA4" w14:textId="77777777" w:rsidR="000F7654" w:rsidRPr="000F7654" w:rsidRDefault="00BE4FAA" w:rsidP="000F7654">
      <w:pPr>
        <w:jc w:val="both"/>
        <w:rPr>
          <w:sz w:val="20"/>
          <w:szCs w:val="20"/>
        </w:rPr>
      </w:pPr>
      <w:r>
        <w:rPr>
          <w:sz w:val="20"/>
          <w:szCs w:val="20"/>
        </w:rPr>
        <w:t xml:space="preserve">Zodiac </w:t>
      </w:r>
      <w:r w:rsidR="000F7654" w:rsidRPr="000F7654">
        <w:rPr>
          <w:sz w:val="20"/>
          <w:szCs w:val="20"/>
        </w:rPr>
        <w:t xml:space="preserve">is committed to treating its customers fairly and it will never knowingly put itself in a position whereby its own interests, or its duty to another party, prevent it from discharging its duty to a customer. </w:t>
      </w:r>
    </w:p>
    <w:p w14:paraId="5C5E58B1" w14:textId="77777777" w:rsidR="000F7654" w:rsidRPr="000F7654" w:rsidRDefault="000F7654" w:rsidP="000F7654">
      <w:pPr>
        <w:jc w:val="both"/>
        <w:rPr>
          <w:sz w:val="20"/>
          <w:szCs w:val="20"/>
        </w:rPr>
      </w:pPr>
      <w:r w:rsidRPr="000F7654">
        <w:rPr>
          <w:sz w:val="20"/>
          <w:szCs w:val="20"/>
        </w:rPr>
        <w:t xml:space="preserve">If </w:t>
      </w:r>
      <w:r w:rsidR="00BE4FAA">
        <w:rPr>
          <w:sz w:val="20"/>
          <w:szCs w:val="20"/>
        </w:rPr>
        <w:t xml:space="preserve">Zodiac </w:t>
      </w:r>
      <w:r w:rsidRPr="000F7654">
        <w:rPr>
          <w:sz w:val="20"/>
          <w:szCs w:val="20"/>
        </w:rPr>
        <w:t xml:space="preserve">has a relationship that gives rise to a conflict with the interests of any of its customers, it will not knowingly act for that customer without taking reasonable steps to ensure the fair treatment of that customer. </w:t>
      </w:r>
    </w:p>
    <w:p w14:paraId="2A7D71EB" w14:textId="77777777" w:rsidR="000F7654" w:rsidRPr="000F7654" w:rsidRDefault="000F7654" w:rsidP="000F7654">
      <w:pPr>
        <w:jc w:val="both"/>
        <w:rPr>
          <w:sz w:val="20"/>
          <w:szCs w:val="20"/>
        </w:rPr>
      </w:pPr>
      <w:r w:rsidRPr="000F7654">
        <w:rPr>
          <w:sz w:val="20"/>
          <w:szCs w:val="20"/>
        </w:rPr>
        <w:t>It is important to avoid not only actual conflicts of interest, but also any semblance of a conflict of interest arising.</w:t>
      </w:r>
    </w:p>
    <w:p w14:paraId="29880243" w14:textId="77777777" w:rsidR="000F7654" w:rsidRPr="000F7654" w:rsidRDefault="000F7654" w:rsidP="000F7654">
      <w:pPr>
        <w:jc w:val="both"/>
        <w:rPr>
          <w:sz w:val="20"/>
          <w:szCs w:val="20"/>
        </w:rPr>
      </w:pPr>
      <w:r w:rsidRPr="000F7654">
        <w:rPr>
          <w:sz w:val="20"/>
          <w:szCs w:val="20"/>
        </w:rPr>
        <w:t>The Compliance Officer should be contacted if a conflict of interest arises and if you are unsure as to whether a particular situation has resulted in a conflict of interest arising.</w:t>
      </w:r>
    </w:p>
    <w:p w14:paraId="61CB9F87" w14:textId="269E2EED" w:rsidR="000F7654" w:rsidRPr="000F7654" w:rsidRDefault="000F7654" w:rsidP="000F7654">
      <w:pPr>
        <w:jc w:val="both"/>
        <w:rPr>
          <w:strike/>
          <w:sz w:val="20"/>
          <w:szCs w:val="20"/>
        </w:rPr>
      </w:pPr>
      <w:r w:rsidRPr="000F7654">
        <w:rPr>
          <w:sz w:val="20"/>
          <w:szCs w:val="20"/>
        </w:rPr>
        <w:t xml:space="preserve">The Compliance Officer also maintains a register </w:t>
      </w:r>
      <w:r w:rsidR="00E1033F">
        <w:rPr>
          <w:sz w:val="20"/>
          <w:szCs w:val="20"/>
        </w:rPr>
        <w:t xml:space="preserve">&amp; matrix </w:t>
      </w:r>
      <w:r w:rsidRPr="000F7654">
        <w:rPr>
          <w:sz w:val="20"/>
          <w:szCs w:val="20"/>
        </w:rPr>
        <w:t xml:space="preserve">of Other Business Interests to document external interests of its directors (including non-executive directors) and employees. </w:t>
      </w:r>
    </w:p>
    <w:p w14:paraId="5BB3DA0E" w14:textId="77777777" w:rsidR="000F7654" w:rsidRDefault="000F7654" w:rsidP="000F7654">
      <w:pPr>
        <w:autoSpaceDE w:val="0"/>
        <w:autoSpaceDN w:val="0"/>
        <w:adjustRightInd w:val="0"/>
        <w:spacing w:after="0" w:line="240" w:lineRule="auto"/>
        <w:jc w:val="both"/>
        <w:rPr>
          <w:rFonts w:eastAsiaTheme="minorHAnsi" w:cs="Calibri"/>
          <w:sz w:val="20"/>
          <w:szCs w:val="20"/>
          <w:lang w:val="en-GB" w:bidi="ar-SA"/>
        </w:rPr>
      </w:pPr>
      <w:r w:rsidRPr="000F7654">
        <w:rPr>
          <w:rFonts w:eastAsiaTheme="minorHAnsi" w:cs="Calibri"/>
          <w:sz w:val="20"/>
          <w:szCs w:val="20"/>
          <w:lang w:val="en-GB" w:bidi="ar-SA"/>
        </w:rPr>
        <w:t xml:space="preserve">The policy is designed to be fully self-explanatory however where circumstances are not covered by this guidance, please seek advice from the Compliance Officer. This policy has been prepared for compliance with the competent authority’s rules and regulations and is </w:t>
      </w:r>
      <w:r w:rsidRPr="000F7654">
        <w:rPr>
          <w:rFonts w:eastAsiaTheme="minorHAnsi" w:cs="Calibri"/>
          <w:b/>
          <w:sz w:val="20"/>
          <w:szCs w:val="20"/>
          <w:u w:val="single"/>
          <w:lang w:val="en-GB" w:bidi="ar-SA"/>
        </w:rPr>
        <w:t>not</w:t>
      </w:r>
      <w:r w:rsidRPr="000F7654">
        <w:rPr>
          <w:rFonts w:eastAsiaTheme="minorHAnsi" w:cs="Calibri"/>
          <w:sz w:val="20"/>
          <w:szCs w:val="20"/>
          <w:lang w:val="en-GB" w:bidi="ar-SA"/>
        </w:rPr>
        <w:t xml:space="preserve"> intended to create third party rights or duties that would not already exist if the policy was not made available, nor does it form part of any contract between </w:t>
      </w:r>
      <w:r w:rsidR="00BE4FAA">
        <w:rPr>
          <w:sz w:val="20"/>
          <w:szCs w:val="20"/>
        </w:rPr>
        <w:t>Zodiac a</w:t>
      </w:r>
      <w:proofErr w:type="spellStart"/>
      <w:r w:rsidRPr="000F7654">
        <w:rPr>
          <w:rFonts w:eastAsiaTheme="minorHAnsi" w:cs="Calibri"/>
          <w:sz w:val="20"/>
          <w:szCs w:val="20"/>
          <w:lang w:val="en-GB" w:bidi="ar-SA"/>
        </w:rPr>
        <w:t>nd</w:t>
      </w:r>
      <w:proofErr w:type="spellEnd"/>
      <w:r w:rsidRPr="000F7654">
        <w:rPr>
          <w:rFonts w:eastAsiaTheme="minorHAnsi" w:cs="Calibri"/>
          <w:sz w:val="20"/>
          <w:szCs w:val="20"/>
          <w:lang w:val="en-GB" w:bidi="ar-SA"/>
        </w:rPr>
        <w:t xml:space="preserve"> any client.</w:t>
      </w:r>
    </w:p>
    <w:p w14:paraId="10F4C5CC" w14:textId="77777777" w:rsidR="0032680F" w:rsidRDefault="0032680F" w:rsidP="000F7654">
      <w:pPr>
        <w:autoSpaceDE w:val="0"/>
        <w:autoSpaceDN w:val="0"/>
        <w:adjustRightInd w:val="0"/>
        <w:spacing w:after="0" w:line="240" w:lineRule="auto"/>
        <w:jc w:val="both"/>
        <w:rPr>
          <w:rFonts w:eastAsiaTheme="minorHAnsi" w:cs="Calibri"/>
          <w:sz w:val="20"/>
          <w:szCs w:val="20"/>
          <w:lang w:val="en-GB" w:bidi="ar-SA"/>
        </w:rPr>
      </w:pPr>
    </w:p>
    <w:p w14:paraId="69BB6781" w14:textId="28133825" w:rsidR="0032680F" w:rsidRPr="000F7654" w:rsidRDefault="0032680F" w:rsidP="000F7654">
      <w:pPr>
        <w:autoSpaceDE w:val="0"/>
        <w:autoSpaceDN w:val="0"/>
        <w:adjustRightInd w:val="0"/>
        <w:spacing w:after="0" w:line="240" w:lineRule="auto"/>
        <w:jc w:val="both"/>
        <w:rPr>
          <w:rFonts w:eastAsiaTheme="minorHAnsi" w:cs="Calibri"/>
          <w:sz w:val="20"/>
          <w:szCs w:val="20"/>
          <w:lang w:val="en-GB" w:bidi="ar-SA"/>
        </w:rPr>
      </w:pPr>
      <w:r>
        <w:rPr>
          <w:rFonts w:eastAsiaTheme="minorHAnsi" w:cs="Calibri"/>
          <w:sz w:val="20"/>
          <w:szCs w:val="20"/>
          <w:lang w:val="en-GB" w:bidi="ar-SA"/>
        </w:rPr>
        <w:t xml:space="preserve">The Conflicts of Interest policy should be read </w:t>
      </w:r>
      <w:r w:rsidR="007D3AEE">
        <w:rPr>
          <w:rFonts w:eastAsiaTheme="minorHAnsi" w:cs="Calibri"/>
          <w:sz w:val="20"/>
          <w:szCs w:val="20"/>
          <w:lang w:val="en-GB" w:bidi="ar-SA"/>
        </w:rPr>
        <w:t xml:space="preserve">in conjunction with the Conflicts of Interest Register and Matrix where conflicts of interests are recorded and considered for </w:t>
      </w:r>
      <w:r w:rsidR="00913BBF">
        <w:rPr>
          <w:rFonts w:eastAsiaTheme="minorHAnsi" w:cs="Calibri"/>
          <w:sz w:val="20"/>
          <w:szCs w:val="20"/>
          <w:lang w:val="en-GB" w:bidi="ar-SA"/>
        </w:rPr>
        <w:t>review by Senior Management and the Board.</w:t>
      </w:r>
    </w:p>
    <w:p w14:paraId="1DC12706" w14:textId="77777777" w:rsidR="000F7654" w:rsidRPr="000F7654" w:rsidRDefault="000F7654" w:rsidP="000F7654">
      <w:pPr>
        <w:autoSpaceDE w:val="0"/>
        <w:autoSpaceDN w:val="0"/>
        <w:adjustRightInd w:val="0"/>
        <w:spacing w:after="0" w:line="240" w:lineRule="auto"/>
        <w:jc w:val="both"/>
        <w:rPr>
          <w:rFonts w:eastAsiaTheme="minorHAnsi" w:cs="Calibri"/>
          <w:sz w:val="20"/>
          <w:szCs w:val="20"/>
          <w:lang w:val="en-GB" w:bidi="ar-SA"/>
        </w:rPr>
      </w:pPr>
    </w:p>
    <w:p w14:paraId="1602E627" w14:textId="77777777" w:rsidR="000F7654" w:rsidRPr="00DD7C48" w:rsidRDefault="000F7654" w:rsidP="000F7654">
      <w:pPr>
        <w:autoSpaceDE w:val="0"/>
        <w:autoSpaceDN w:val="0"/>
        <w:adjustRightInd w:val="0"/>
        <w:spacing w:after="0" w:line="240" w:lineRule="auto"/>
        <w:jc w:val="both"/>
        <w:rPr>
          <w:rFonts w:cs="Calibri"/>
          <w:color w:val="2F5496" w:themeColor="accent1" w:themeShade="BF"/>
          <w:sz w:val="20"/>
          <w:szCs w:val="20"/>
        </w:rPr>
      </w:pPr>
      <w:r w:rsidRPr="00DD7C48">
        <w:rPr>
          <w:rFonts w:ascii="Berlin Sans FB Demi" w:hAnsi="Berlin Sans FB Demi"/>
          <w:color w:val="2F5496" w:themeColor="accent1" w:themeShade="BF"/>
          <w:sz w:val="36"/>
          <w:szCs w:val="36"/>
        </w:rPr>
        <w:t>Management of Conflicts of Interest</w:t>
      </w:r>
    </w:p>
    <w:p w14:paraId="084418E6" w14:textId="77777777" w:rsidR="000F7654" w:rsidRPr="000F7654" w:rsidRDefault="000F7654" w:rsidP="000F7654">
      <w:pPr>
        <w:spacing w:after="0"/>
      </w:pPr>
    </w:p>
    <w:p w14:paraId="377BE1E8" w14:textId="77777777" w:rsidR="000F7654" w:rsidRPr="000F7654" w:rsidRDefault="000F7654" w:rsidP="000F7654">
      <w:pPr>
        <w:rPr>
          <w:rFonts w:cs="Calibri"/>
          <w:sz w:val="20"/>
          <w:szCs w:val="20"/>
        </w:rPr>
      </w:pPr>
      <w:r w:rsidRPr="000F7654">
        <w:rPr>
          <w:rFonts w:cs="Calibri"/>
          <w:sz w:val="20"/>
          <w:szCs w:val="20"/>
        </w:rPr>
        <w:t xml:space="preserve">It is essential that any conflicts of interest that cannot be avoided are handled correctly and sensitively, both to comply with the regulatory Rules and our wider duties to our customers, </w:t>
      </w:r>
      <w:proofErr w:type="gramStart"/>
      <w:r w:rsidRPr="000F7654">
        <w:rPr>
          <w:rFonts w:cs="Calibri"/>
          <w:sz w:val="20"/>
          <w:szCs w:val="20"/>
        </w:rPr>
        <w:t>and also</w:t>
      </w:r>
      <w:proofErr w:type="gramEnd"/>
      <w:r w:rsidRPr="000F7654">
        <w:rPr>
          <w:rFonts w:cs="Calibri"/>
          <w:sz w:val="20"/>
          <w:szCs w:val="20"/>
        </w:rPr>
        <w:t xml:space="preserve"> to ensure that the integrity of our services is not tarnished.</w:t>
      </w:r>
    </w:p>
    <w:p w14:paraId="26965D85" w14:textId="77777777" w:rsidR="000F7654" w:rsidRPr="000F7654" w:rsidRDefault="000F7654" w:rsidP="000F7654">
      <w:pPr>
        <w:rPr>
          <w:rFonts w:cs="Calibri"/>
          <w:sz w:val="20"/>
          <w:szCs w:val="20"/>
        </w:rPr>
      </w:pPr>
      <w:r w:rsidRPr="000F7654">
        <w:rPr>
          <w:rFonts w:cs="Calibri"/>
          <w:sz w:val="20"/>
          <w:szCs w:val="20"/>
        </w:rPr>
        <w:t xml:space="preserve">Conflicts of interest can take many forms. They arise where there is a mismatch between the interests of one party to an arrangement and another party. In relation to the activities that we conduct conflicts can arise: </w:t>
      </w:r>
    </w:p>
    <w:p w14:paraId="718E81CB" w14:textId="77777777" w:rsidR="000F7654" w:rsidRPr="000F7654" w:rsidRDefault="000F7654" w:rsidP="000F7654">
      <w:pPr>
        <w:pStyle w:val="Bullet1"/>
        <w:numPr>
          <w:ilvl w:val="0"/>
          <w:numId w:val="2"/>
        </w:numPr>
        <w:rPr>
          <w:rFonts w:ascii="Calibri" w:hAnsi="Calibri" w:cs="Calibri"/>
          <w:color w:val="auto"/>
          <w:sz w:val="20"/>
          <w:szCs w:val="20"/>
        </w:rPr>
      </w:pPr>
      <w:r w:rsidRPr="000F7654">
        <w:rPr>
          <w:rFonts w:ascii="Calibri" w:hAnsi="Calibri" w:cs="Calibri"/>
          <w:color w:val="auto"/>
          <w:sz w:val="20"/>
          <w:szCs w:val="20"/>
        </w:rPr>
        <w:t xml:space="preserve">Between </w:t>
      </w:r>
      <w:r w:rsidR="00BE4FAA">
        <w:rPr>
          <w:sz w:val="20"/>
          <w:szCs w:val="20"/>
        </w:rPr>
        <w:t xml:space="preserve">Zodiac </w:t>
      </w:r>
      <w:r w:rsidRPr="000F7654">
        <w:rPr>
          <w:rFonts w:ascii="Calibri" w:hAnsi="Calibri" w:cs="Calibri"/>
          <w:color w:val="auto"/>
          <w:sz w:val="20"/>
          <w:szCs w:val="20"/>
        </w:rPr>
        <w:t>interests and those of a client.</w:t>
      </w:r>
    </w:p>
    <w:p w14:paraId="031637B8" w14:textId="77777777" w:rsidR="000F7654" w:rsidRPr="000F7654" w:rsidRDefault="000F7654" w:rsidP="000F7654">
      <w:pPr>
        <w:pStyle w:val="Bullet1"/>
        <w:numPr>
          <w:ilvl w:val="0"/>
          <w:numId w:val="2"/>
        </w:numPr>
        <w:rPr>
          <w:rFonts w:ascii="Calibri" w:hAnsi="Calibri" w:cs="Calibri"/>
          <w:color w:val="auto"/>
          <w:sz w:val="20"/>
          <w:szCs w:val="20"/>
        </w:rPr>
      </w:pPr>
      <w:r w:rsidRPr="000F7654">
        <w:rPr>
          <w:rFonts w:ascii="Calibri" w:hAnsi="Calibri" w:cs="Calibri"/>
          <w:color w:val="auto"/>
          <w:sz w:val="20"/>
          <w:szCs w:val="20"/>
        </w:rPr>
        <w:t>Between one client and another</w:t>
      </w:r>
    </w:p>
    <w:p w14:paraId="066441C6" w14:textId="77777777" w:rsidR="000F7654" w:rsidRPr="000F7654" w:rsidRDefault="000F7654" w:rsidP="000F7654">
      <w:pPr>
        <w:pStyle w:val="Bullet1"/>
        <w:numPr>
          <w:ilvl w:val="0"/>
          <w:numId w:val="2"/>
        </w:numPr>
        <w:rPr>
          <w:rFonts w:ascii="Calibri" w:hAnsi="Calibri" w:cs="Calibri"/>
          <w:color w:val="auto"/>
          <w:sz w:val="20"/>
          <w:szCs w:val="20"/>
        </w:rPr>
      </w:pPr>
      <w:r w:rsidRPr="000F7654">
        <w:rPr>
          <w:rFonts w:ascii="Calibri" w:hAnsi="Calibri" w:cs="Calibri"/>
          <w:color w:val="auto"/>
          <w:sz w:val="20"/>
          <w:szCs w:val="20"/>
        </w:rPr>
        <w:t>Between a director, manager or employee and a client</w:t>
      </w:r>
    </w:p>
    <w:p w14:paraId="3622F3E0" w14:textId="77777777" w:rsidR="001D4EBC" w:rsidRDefault="001D4EBC" w:rsidP="000F7654">
      <w:pPr>
        <w:rPr>
          <w:rFonts w:ascii="Berlin Sans FB Demi" w:hAnsi="Berlin Sans FB Demi"/>
          <w:color w:val="2F5496" w:themeColor="accent1" w:themeShade="BF"/>
          <w:sz w:val="36"/>
          <w:szCs w:val="36"/>
        </w:rPr>
      </w:pPr>
    </w:p>
    <w:p w14:paraId="4F3BF7B0" w14:textId="15FD6BF3" w:rsidR="000F7654" w:rsidRPr="00DD7C48" w:rsidRDefault="000F7654" w:rsidP="000F7654">
      <w:pPr>
        <w:rPr>
          <w:color w:val="2F5496" w:themeColor="accent1" w:themeShade="BF"/>
        </w:rPr>
      </w:pPr>
      <w:r w:rsidRPr="00DD7C48">
        <w:rPr>
          <w:rFonts w:ascii="Berlin Sans FB Demi" w:hAnsi="Berlin Sans FB Demi"/>
          <w:color w:val="2F5496" w:themeColor="accent1" w:themeShade="BF"/>
          <w:sz w:val="36"/>
          <w:szCs w:val="36"/>
        </w:rPr>
        <w:lastRenderedPageBreak/>
        <w:t>Identification of Conflicts of Interest</w:t>
      </w:r>
    </w:p>
    <w:p w14:paraId="4A99F298" w14:textId="77777777" w:rsidR="000F7654" w:rsidRPr="000F7654" w:rsidRDefault="000F7654" w:rsidP="000F7654">
      <w:pPr>
        <w:rPr>
          <w:sz w:val="20"/>
          <w:szCs w:val="20"/>
        </w:rPr>
      </w:pPr>
      <w:r w:rsidRPr="000F7654">
        <w:rPr>
          <w:sz w:val="20"/>
          <w:szCs w:val="20"/>
        </w:rPr>
        <w:t xml:space="preserve">Conflicts of interest may arise at any time. They can arise at the start of a relationship with a client as well as at any time during a relationship. All directors and employees have an </w:t>
      </w:r>
      <w:r w:rsidRPr="000F7654">
        <w:rPr>
          <w:sz w:val="20"/>
          <w:szCs w:val="20"/>
          <w:u w:val="single"/>
        </w:rPr>
        <w:t>ongoing</w:t>
      </w:r>
      <w:r w:rsidRPr="000F7654">
        <w:rPr>
          <w:sz w:val="20"/>
          <w:szCs w:val="20"/>
        </w:rPr>
        <w:t xml:space="preserve"> responsibility to remain alert to the potential for conflicts of interest and to ensure that any such conflicts are appropriately escalated. </w:t>
      </w:r>
    </w:p>
    <w:p w14:paraId="0EFC8FB5" w14:textId="77777777" w:rsidR="000F7654" w:rsidRPr="000F7654" w:rsidRDefault="000F7654" w:rsidP="000F7654">
      <w:pPr>
        <w:rPr>
          <w:sz w:val="20"/>
          <w:szCs w:val="20"/>
        </w:rPr>
      </w:pPr>
      <w:r w:rsidRPr="000F7654">
        <w:rPr>
          <w:sz w:val="20"/>
          <w:szCs w:val="20"/>
        </w:rPr>
        <w:t xml:space="preserve">Conflicts may arise where </w:t>
      </w:r>
      <w:r w:rsidR="00BE4FAA">
        <w:rPr>
          <w:sz w:val="20"/>
          <w:szCs w:val="20"/>
        </w:rPr>
        <w:t xml:space="preserve">Zodiac </w:t>
      </w:r>
      <w:r w:rsidRPr="000F7654">
        <w:rPr>
          <w:sz w:val="20"/>
          <w:szCs w:val="20"/>
        </w:rPr>
        <w:t xml:space="preserve">or a relevant person or a person directly or indirectly linked by access to SYSC of the firm, or the power to dictate company policy: </w:t>
      </w:r>
    </w:p>
    <w:p w14:paraId="0A21C81B" w14:textId="59C9A097" w:rsidR="000F7654" w:rsidRPr="000F7654" w:rsidRDefault="000F7654" w:rsidP="000F7654">
      <w:pPr>
        <w:pStyle w:val="Bullet1"/>
        <w:numPr>
          <w:ilvl w:val="0"/>
          <w:numId w:val="2"/>
        </w:numPr>
        <w:rPr>
          <w:rFonts w:ascii="Calibri" w:hAnsi="Calibri" w:cs="Calibri"/>
          <w:color w:val="auto"/>
          <w:sz w:val="20"/>
          <w:szCs w:val="20"/>
        </w:rPr>
      </w:pPr>
      <w:r w:rsidRPr="000F7654">
        <w:rPr>
          <w:rFonts w:ascii="Calibri" w:hAnsi="Calibri" w:cs="Calibri"/>
          <w:color w:val="auto"/>
          <w:sz w:val="20"/>
          <w:szCs w:val="20"/>
        </w:rPr>
        <w:t xml:space="preserve">Is likely to make a financial gain, or avoid a financial loss, at the expense of the </w:t>
      </w:r>
      <w:r w:rsidR="003E22DC" w:rsidRPr="000F7654">
        <w:rPr>
          <w:rFonts w:ascii="Calibri" w:hAnsi="Calibri" w:cs="Calibri"/>
          <w:color w:val="auto"/>
          <w:sz w:val="20"/>
          <w:szCs w:val="20"/>
        </w:rPr>
        <w:t>client.</w:t>
      </w:r>
    </w:p>
    <w:p w14:paraId="4D0673DF" w14:textId="2722AD5A" w:rsidR="000F7654" w:rsidRPr="000F7654" w:rsidRDefault="000F7654" w:rsidP="000F7654">
      <w:pPr>
        <w:pStyle w:val="Bullet1"/>
        <w:numPr>
          <w:ilvl w:val="0"/>
          <w:numId w:val="2"/>
        </w:numPr>
        <w:rPr>
          <w:rFonts w:ascii="Calibri" w:hAnsi="Calibri" w:cs="Calibri"/>
          <w:color w:val="auto"/>
          <w:sz w:val="20"/>
          <w:szCs w:val="20"/>
        </w:rPr>
      </w:pPr>
      <w:r w:rsidRPr="000F7654">
        <w:rPr>
          <w:rFonts w:ascii="Calibri" w:hAnsi="Calibri" w:cs="Calibri"/>
          <w:color w:val="auto"/>
          <w:sz w:val="20"/>
          <w:szCs w:val="20"/>
        </w:rPr>
        <w:t>Has an interest in the outcome of a service provided to the client or of a transaction carried out on behalf of the client, which is distinct from the client’s interest in that outcome</w:t>
      </w:r>
      <w:r w:rsidR="003E22DC">
        <w:rPr>
          <w:rFonts w:ascii="Calibri" w:hAnsi="Calibri" w:cs="Calibri"/>
          <w:color w:val="auto"/>
          <w:sz w:val="20"/>
          <w:szCs w:val="20"/>
        </w:rPr>
        <w:t>.</w:t>
      </w:r>
    </w:p>
    <w:p w14:paraId="0B981778" w14:textId="78613021" w:rsidR="000F7654" w:rsidRPr="000F7654" w:rsidRDefault="000F7654" w:rsidP="000F7654">
      <w:pPr>
        <w:pStyle w:val="Bullet1"/>
        <w:numPr>
          <w:ilvl w:val="0"/>
          <w:numId w:val="2"/>
        </w:numPr>
        <w:rPr>
          <w:rFonts w:ascii="Calibri" w:hAnsi="Calibri" w:cs="Calibri"/>
          <w:color w:val="auto"/>
          <w:sz w:val="20"/>
          <w:szCs w:val="20"/>
        </w:rPr>
      </w:pPr>
      <w:r w:rsidRPr="000F7654">
        <w:rPr>
          <w:rFonts w:ascii="Calibri" w:hAnsi="Calibri" w:cs="Calibri"/>
          <w:color w:val="auto"/>
          <w:sz w:val="20"/>
          <w:szCs w:val="20"/>
        </w:rPr>
        <w:t>Has a financial or other incentive to favour the interest of another client or group of clients over the interests of the client</w:t>
      </w:r>
      <w:r w:rsidR="003E22DC">
        <w:rPr>
          <w:rFonts w:ascii="Calibri" w:hAnsi="Calibri" w:cs="Calibri"/>
          <w:color w:val="auto"/>
          <w:sz w:val="20"/>
          <w:szCs w:val="20"/>
        </w:rPr>
        <w:t>.</w:t>
      </w:r>
    </w:p>
    <w:p w14:paraId="64C907D2" w14:textId="77777777" w:rsidR="000F7654" w:rsidRPr="000F7654" w:rsidRDefault="000F7654" w:rsidP="000F7654">
      <w:pPr>
        <w:pStyle w:val="Bullet1"/>
        <w:numPr>
          <w:ilvl w:val="0"/>
          <w:numId w:val="2"/>
        </w:numPr>
        <w:rPr>
          <w:rFonts w:ascii="Calibri" w:hAnsi="Calibri" w:cs="Calibri"/>
          <w:color w:val="auto"/>
          <w:sz w:val="20"/>
          <w:szCs w:val="20"/>
        </w:rPr>
      </w:pPr>
      <w:r w:rsidRPr="000F7654">
        <w:rPr>
          <w:rFonts w:ascii="Calibri" w:hAnsi="Calibri" w:cs="Calibri"/>
          <w:color w:val="auto"/>
          <w:sz w:val="20"/>
          <w:szCs w:val="20"/>
        </w:rPr>
        <w:t xml:space="preserve">Carries on the same business as the client, or </w:t>
      </w:r>
    </w:p>
    <w:p w14:paraId="0F3DEA18" w14:textId="43806B68" w:rsidR="000F7654" w:rsidRPr="000F7654" w:rsidRDefault="000F7654" w:rsidP="000F7654">
      <w:pPr>
        <w:pStyle w:val="Bullet1"/>
        <w:numPr>
          <w:ilvl w:val="0"/>
          <w:numId w:val="2"/>
        </w:numPr>
        <w:rPr>
          <w:rFonts w:ascii="Calibri" w:hAnsi="Calibri" w:cs="Calibri"/>
          <w:color w:val="auto"/>
          <w:sz w:val="20"/>
          <w:szCs w:val="20"/>
        </w:rPr>
      </w:pPr>
      <w:r w:rsidRPr="000F7654">
        <w:rPr>
          <w:rFonts w:ascii="Calibri" w:hAnsi="Calibri" w:cs="Calibri"/>
          <w:color w:val="auto"/>
          <w:sz w:val="20"/>
          <w:szCs w:val="20"/>
        </w:rPr>
        <w:t>Receives or will receive from a person other than the client an inducement in relation to a service provided to the client, in the form of monies, goods or services, other than the standard commission or fee for that service</w:t>
      </w:r>
      <w:r w:rsidR="003E22DC">
        <w:rPr>
          <w:rFonts w:ascii="Calibri" w:hAnsi="Calibri" w:cs="Calibri"/>
          <w:color w:val="auto"/>
          <w:sz w:val="20"/>
          <w:szCs w:val="20"/>
        </w:rPr>
        <w:t>.</w:t>
      </w:r>
    </w:p>
    <w:p w14:paraId="554A5649" w14:textId="77777777" w:rsidR="000F7654" w:rsidRPr="00DD7C48" w:rsidRDefault="000F7654" w:rsidP="000F7654">
      <w:pPr>
        <w:rPr>
          <w:rFonts w:ascii="Berlin Sans FB Demi" w:hAnsi="Berlin Sans FB Demi"/>
          <w:color w:val="2F5496" w:themeColor="accent1" w:themeShade="BF"/>
          <w:sz w:val="36"/>
          <w:szCs w:val="36"/>
        </w:rPr>
      </w:pPr>
      <w:r w:rsidRPr="00DD7C48">
        <w:rPr>
          <w:rFonts w:ascii="Berlin Sans FB Demi" w:hAnsi="Berlin Sans FB Demi"/>
          <w:color w:val="2F5496" w:themeColor="accent1" w:themeShade="BF"/>
          <w:sz w:val="36"/>
          <w:szCs w:val="36"/>
        </w:rPr>
        <w:t>Client Notification</w:t>
      </w:r>
    </w:p>
    <w:p w14:paraId="1FDD17DF" w14:textId="20FFCB48" w:rsidR="000F7654" w:rsidRPr="000F7654" w:rsidRDefault="000F7654" w:rsidP="000F7654">
      <w:pPr>
        <w:jc w:val="both"/>
        <w:rPr>
          <w:sz w:val="20"/>
          <w:szCs w:val="20"/>
        </w:rPr>
      </w:pPr>
      <w:r w:rsidRPr="000F7654">
        <w:rPr>
          <w:sz w:val="20"/>
          <w:szCs w:val="20"/>
        </w:rPr>
        <w:t xml:space="preserve">The Compliance Officer acts as the central coordinating point in relation to conflicts of interest. Accordingly, any actual or </w:t>
      </w:r>
      <w:r w:rsidRPr="000F7654">
        <w:rPr>
          <w:i/>
          <w:sz w:val="20"/>
          <w:szCs w:val="20"/>
        </w:rPr>
        <w:t>potential</w:t>
      </w:r>
      <w:r w:rsidRPr="000F7654">
        <w:rPr>
          <w:sz w:val="20"/>
          <w:szCs w:val="20"/>
        </w:rPr>
        <w:t xml:space="preserve"> conflict of </w:t>
      </w:r>
      <w:r w:rsidR="003E22DC" w:rsidRPr="000F7654">
        <w:rPr>
          <w:sz w:val="20"/>
          <w:szCs w:val="20"/>
        </w:rPr>
        <w:t>interest,</w:t>
      </w:r>
      <w:r w:rsidRPr="000F7654">
        <w:rPr>
          <w:sz w:val="20"/>
          <w:szCs w:val="20"/>
        </w:rPr>
        <w:t xml:space="preserve"> whether it arises at the commencement of a client relationship or at some other time, </w:t>
      </w:r>
      <w:r w:rsidRPr="000F7654">
        <w:rPr>
          <w:sz w:val="20"/>
          <w:szCs w:val="20"/>
          <w:u w:val="single"/>
        </w:rPr>
        <w:t>must</w:t>
      </w:r>
      <w:r w:rsidRPr="000F7654">
        <w:rPr>
          <w:sz w:val="20"/>
          <w:szCs w:val="20"/>
        </w:rPr>
        <w:t xml:space="preserve"> be reported to the Compliance Officer. In relation to any such conflicts the following information should be provided: </w:t>
      </w:r>
    </w:p>
    <w:p w14:paraId="7FE98852" w14:textId="77777777" w:rsidR="000F7654" w:rsidRPr="000F7654" w:rsidRDefault="000F7654" w:rsidP="000F7654">
      <w:pPr>
        <w:pStyle w:val="ListParagraph"/>
        <w:numPr>
          <w:ilvl w:val="0"/>
          <w:numId w:val="3"/>
        </w:numPr>
        <w:rPr>
          <w:sz w:val="20"/>
          <w:szCs w:val="20"/>
        </w:rPr>
      </w:pPr>
      <w:r w:rsidRPr="000F7654">
        <w:rPr>
          <w:sz w:val="20"/>
          <w:szCs w:val="20"/>
        </w:rPr>
        <w:t xml:space="preserve">Names of clients and </w:t>
      </w:r>
      <w:proofErr w:type="gramStart"/>
      <w:r w:rsidRPr="000F7654">
        <w:rPr>
          <w:sz w:val="20"/>
          <w:szCs w:val="20"/>
        </w:rPr>
        <w:t>or</w:t>
      </w:r>
      <w:proofErr w:type="gramEnd"/>
      <w:r w:rsidRPr="000F7654">
        <w:rPr>
          <w:sz w:val="20"/>
          <w:szCs w:val="20"/>
        </w:rPr>
        <w:t xml:space="preserve"> account details</w:t>
      </w:r>
    </w:p>
    <w:p w14:paraId="3D1FA87A" w14:textId="2804AC9A" w:rsidR="000F7654" w:rsidRPr="000F7654" w:rsidRDefault="000F7654" w:rsidP="000F7654">
      <w:pPr>
        <w:pStyle w:val="ListParagraph"/>
        <w:numPr>
          <w:ilvl w:val="0"/>
          <w:numId w:val="3"/>
        </w:numPr>
        <w:rPr>
          <w:sz w:val="20"/>
          <w:szCs w:val="20"/>
        </w:rPr>
      </w:pPr>
      <w:r w:rsidRPr="000F7654">
        <w:rPr>
          <w:sz w:val="20"/>
          <w:szCs w:val="20"/>
        </w:rPr>
        <w:t xml:space="preserve">Nature of the </w:t>
      </w:r>
      <w:r w:rsidR="003E22DC">
        <w:rPr>
          <w:sz w:val="20"/>
          <w:szCs w:val="20"/>
        </w:rPr>
        <w:t>c</w:t>
      </w:r>
      <w:r w:rsidRPr="000F7654">
        <w:rPr>
          <w:sz w:val="20"/>
          <w:szCs w:val="20"/>
        </w:rPr>
        <w:t>onflict</w:t>
      </w:r>
    </w:p>
    <w:p w14:paraId="028F1F60" w14:textId="77777777" w:rsidR="000F7654" w:rsidRPr="000F7654" w:rsidRDefault="000F7654" w:rsidP="000F7654">
      <w:pPr>
        <w:pStyle w:val="ListParagraph"/>
        <w:numPr>
          <w:ilvl w:val="0"/>
          <w:numId w:val="3"/>
        </w:numPr>
        <w:rPr>
          <w:sz w:val="20"/>
          <w:szCs w:val="20"/>
        </w:rPr>
      </w:pPr>
      <w:r w:rsidRPr="000F7654">
        <w:rPr>
          <w:sz w:val="20"/>
          <w:szCs w:val="20"/>
        </w:rPr>
        <w:t>Whether the conflict is deemed to be an actual conflict or a potential conflict</w:t>
      </w:r>
    </w:p>
    <w:p w14:paraId="47B34B30" w14:textId="77777777" w:rsidR="000F7654" w:rsidRPr="000F7654" w:rsidRDefault="000F7654" w:rsidP="000F7654">
      <w:pPr>
        <w:pStyle w:val="ListParagraph"/>
        <w:numPr>
          <w:ilvl w:val="0"/>
          <w:numId w:val="3"/>
        </w:numPr>
        <w:rPr>
          <w:sz w:val="20"/>
          <w:szCs w:val="20"/>
        </w:rPr>
      </w:pPr>
      <w:r w:rsidRPr="000F7654">
        <w:rPr>
          <w:sz w:val="20"/>
          <w:szCs w:val="20"/>
        </w:rPr>
        <w:t xml:space="preserve">Identification of those within the firm who the conflict </w:t>
      </w:r>
      <w:proofErr w:type="gramStart"/>
      <w:r w:rsidRPr="000F7654">
        <w:rPr>
          <w:sz w:val="20"/>
          <w:szCs w:val="20"/>
        </w:rPr>
        <w:t>be</w:t>
      </w:r>
      <w:proofErr w:type="gramEnd"/>
      <w:r w:rsidRPr="000F7654">
        <w:rPr>
          <w:sz w:val="20"/>
          <w:szCs w:val="20"/>
        </w:rPr>
        <w:t xml:space="preserve"> against, and as such names of those within the firm who are best placed to resolve the conflict.</w:t>
      </w:r>
    </w:p>
    <w:p w14:paraId="44585BD0" w14:textId="77777777" w:rsidR="000F7654" w:rsidRPr="00DD7C48" w:rsidRDefault="000F7654" w:rsidP="000F7654">
      <w:pPr>
        <w:rPr>
          <w:rFonts w:ascii="Berlin Sans FB Demi" w:hAnsi="Berlin Sans FB Demi"/>
          <w:color w:val="2F5496" w:themeColor="accent1" w:themeShade="BF"/>
          <w:sz w:val="36"/>
          <w:szCs w:val="36"/>
        </w:rPr>
      </w:pPr>
      <w:r w:rsidRPr="00DD7C48">
        <w:rPr>
          <w:rFonts w:ascii="Berlin Sans FB Demi" w:hAnsi="Berlin Sans FB Demi"/>
          <w:color w:val="2F5496" w:themeColor="accent1" w:themeShade="BF"/>
          <w:sz w:val="36"/>
          <w:szCs w:val="36"/>
        </w:rPr>
        <w:t>Review of Conflict(s)</w:t>
      </w:r>
    </w:p>
    <w:p w14:paraId="0CC71036" w14:textId="77777777" w:rsidR="000F7654" w:rsidRPr="000F7654" w:rsidRDefault="000F7654" w:rsidP="000F7654">
      <w:pPr>
        <w:spacing w:after="0"/>
        <w:jc w:val="both"/>
        <w:rPr>
          <w:sz w:val="20"/>
          <w:szCs w:val="20"/>
        </w:rPr>
      </w:pPr>
      <w:r w:rsidRPr="000F7654">
        <w:rPr>
          <w:sz w:val="20"/>
          <w:szCs w:val="20"/>
        </w:rPr>
        <w:t>Upon receipt of a Conflict Notification the Compliance Officer will:</w:t>
      </w:r>
    </w:p>
    <w:p w14:paraId="4BC58C55" w14:textId="1BE73153" w:rsidR="000F7654" w:rsidRPr="000F7654" w:rsidRDefault="000F7654" w:rsidP="000F7654">
      <w:pPr>
        <w:spacing w:after="0"/>
        <w:jc w:val="both"/>
        <w:rPr>
          <w:sz w:val="20"/>
          <w:szCs w:val="20"/>
        </w:rPr>
      </w:pPr>
      <w:r w:rsidRPr="000F7654">
        <w:rPr>
          <w:sz w:val="20"/>
          <w:szCs w:val="20"/>
        </w:rPr>
        <w:t>a)</w:t>
      </w:r>
      <w:r w:rsidRPr="000F7654">
        <w:rPr>
          <w:sz w:val="20"/>
          <w:szCs w:val="20"/>
        </w:rPr>
        <w:tab/>
        <w:t>Log the conflict on the Conflicts Register</w:t>
      </w:r>
      <w:r w:rsidR="00E72D9B">
        <w:rPr>
          <w:sz w:val="20"/>
          <w:szCs w:val="20"/>
        </w:rPr>
        <w:t xml:space="preserve"> </w:t>
      </w:r>
      <w:r w:rsidR="000863C2">
        <w:rPr>
          <w:sz w:val="20"/>
          <w:szCs w:val="20"/>
        </w:rPr>
        <w:t>&amp;</w:t>
      </w:r>
      <w:r w:rsidR="00E72D9B">
        <w:rPr>
          <w:sz w:val="20"/>
          <w:szCs w:val="20"/>
        </w:rPr>
        <w:t xml:space="preserve"> Matrix</w:t>
      </w:r>
      <w:r w:rsidRPr="000F7654">
        <w:rPr>
          <w:sz w:val="20"/>
          <w:szCs w:val="20"/>
        </w:rPr>
        <w:t>.</w:t>
      </w:r>
    </w:p>
    <w:p w14:paraId="74A572DD" w14:textId="77777777" w:rsidR="000F7654" w:rsidRPr="000F7654" w:rsidRDefault="000F7654" w:rsidP="000F7654">
      <w:pPr>
        <w:spacing w:after="0"/>
        <w:ind w:left="426" w:hanging="426"/>
        <w:jc w:val="both"/>
        <w:rPr>
          <w:sz w:val="20"/>
          <w:szCs w:val="20"/>
        </w:rPr>
      </w:pPr>
      <w:r w:rsidRPr="000F7654">
        <w:rPr>
          <w:sz w:val="20"/>
          <w:szCs w:val="20"/>
        </w:rPr>
        <w:t>b</w:t>
      </w:r>
      <w:proofErr w:type="gramStart"/>
      <w:r w:rsidRPr="000F7654">
        <w:rPr>
          <w:sz w:val="20"/>
          <w:szCs w:val="20"/>
        </w:rPr>
        <w:t>)</w:t>
      </w:r>
      <w:r w:rsidRPr="000F7654">
        <w:rPr>
          <w:sz w:val="20"/>
          <w:szCs w:val="20"/>
        </w:rPr>
        <w:tab/>
      </w:r>
      <w:r w:rsidRPr="000F7654">
        <w:rPr>
          <w:sz w:val="20"/>
          <w:szCs w:val="20"/>
        </w:rPr>
        <w:tab/>
        <w:t>Assess</w:t>
      </w:r>
      <w:proofErr w:type="gramEnd"/>
      <w:r w:rsidRPr="000F7654">
        <w:rPr>
          <w:sz w:val="20"/>
          <w:szCs w:val="20"/>
        </w:rPr>
        <w:t xml:space="preserve"> the conflict to determine whether it is: </w:t>
      </w:r>
    </w:p>
    <w:p w14:paraId="0A348E43" w14:textId="77777777" w:rsidR="000F7654" w:rsidRPr="000F7654" w:rsidRDefault="000F7654" w:rsidP="000F7654">
      <w:pPr>
        <w:ind w:left="851" w:hanging="425"/>
        <w:jc w:val="both"/>
        <w:rPr>
          <w:sz w:val="20"/>
          <w:szCs w:val="20"/>
        </w:rPr>
      </w:pPr>
      <w:r w:rsidRPr="000F7654">
        <w:rPr>
          <w:sz w:val="20"/>
          <w:szCs w:val="20"/>
        </w:rPr>
        <w:t>(i)</w:t>
      </w:r>
      <w:r w:rsidRPr="000F7654">
        <w:rPr>
          <w:sz w:val="20"/>
          <w:szCs w:val="20"/>
        </w:rPr>
        <w:tab/>
        <w:t>A perceived rather than actual conflict and one in relation to which no further action is required</w:t>
      </w:r>
    </w:p>
    <w:p w14:paraId="1D424B20" w14:textId="77777777" w:rsidR="000F7654" w:rsidRPr="000F7654" w:rsidRDefault="000F7654" w:rsidP="000F7654">
      <w:pPr>
        <w:ind w:left="851" w:hanging="425"/>
        <w:jc w:val="both"/>
        <w:rPr>
          <w:sz w:val="20"/>
          <w:szCs w:val="20"/>
        </w:rPr>
      </w:pPr>
      <w:r w:rsidRPr="000F7654">
        <w:rPr>
          <w:sz w:val="20"/>
          <w:szCs w:val="20"/>
        </w:rPr>
        <w:t>(ii)</w:t>
      </w:r>
      <w:r w:rsidRPr="000F7654">
        <w:rPr>
          <w:sz w:val="20"/>
          <w:szCs w:val="20"/>
        </w:rPr>
        <w:tab/>
        <w:t>A conflict which does not have commercial implications for the firm and in relation to which the Compliance Officer is the appropriate individual to resolve</w:t>
      </w:r>
    </w:p>
    <w:p w14:paraId="1348D99A" w14:textId="77777777" w:rsidR="000F7654" w:rsidRPr="000F7654" w:rsidRDefault="000F7654" w:rsidP="000F7654">
      <w:pPr>
        <w:ind w:left="851" w:hanging="425"/>
        <w:jc w:val="both"/>
        <w:rPr>
          <w:sz w:val="20"/>
          <w:szCs w:val="20"/>
        </w:rPr>
      </w:pPr>
      <w:r w:rsidRPr="000F7654">
        <w:rPr>
          <w:sz w:val="20"/>
          <w:szCs w:val="20"/>
        </w:rPr>
        <w:t>(iii)</w:t>
      </w:r>
      <w:r w:rsidRPr="000F7654">
        <w:rPr>
          <w:sz w:val="20"/>
          <w:szCs w:val="20"/>
        </w:rPr>
        <w:tab/>
        <w:t>A more complex or commercially sensitive conflict which is best managed by the Board</w:t>
      </w:r>
    </w:p>
    <w:p w14:paraId="6CD0ADA7" w14:textId="77777777" w:rsidR="000F7654" w:rsidRPr="00DD7C48" w:rsidRDefault="000F7654" w:rsidP="000F7654">
      <w:pPr>
        <w:rPr>
          <w:rFonts w:ascii="Berlin Sans FB Demi" w:hAnsi="Berlin Sans FB Demi"/>
          <w:color w:val="2F5496" w:themeColor="accent1" w:themeShade="BF"/>
          <w:sz w:val="36"/>
          <w:szCs w:val="36"/>
        </w:rPr>
      </w:pPr>
      <w:r w:rsidRPr="00DD7C48">
        <w:rPr>
          <w:rFonts w:ascii="Berlin Sans FB Demi" w:hAnsi="Berlin Sans FB Demi"/>
          <w:color w:val="2F5496" w:themeColor="accent1" w:themeShade="BF"/>
          <w:sz w:val="36"/>
          <w:szCs w:val="36"/>
        </w:rPr>
        <w:t>Disclosing the Conflict of Interest to the Customer</w:t>
      </w:r>
    </w:p>
    <w:p w14:paraId="1CA2CF2A" w14:textId="21F035FA" w:rsidR="000F7654" w:rsidRPr="000F7654" w:rsidRDefault="000F7654" w:rsidP="000F7654">
      <w:pPr>
        <w:jc w:val="both"/>
        <w:rPr>
          <w:rFonts w:cs="Calibri"/>
          <w:sz w:val="20"/>
          <w:szCs w:val="20"/>
        </w:rPr>
      </w:pPr>
      <w:r w:rsidRPr="000F7654">
        <w:t xml:space="preserve">If </w:t>
      </w:r>
      <w:r w:rsidR="00BE4FAA">
        <w:rPr>
          <w:sz w:val="20"/>
          <w:szCs w:val="20"/>
        </w:rPr>
        <w:t xml:space="preserve">Zodiac </w:t>
      </w:r>
      <w:r w:rsidRPr="000F7654">
        <w:rPr>
          <w:rFonts w:cs="Calibri"/>
          <w:sz w:val="20"/>
          <w:szCs w:val="20"/>
        </w:rPr>
        <w:t xml:space="preserve">has identified any relationship or interest in a transaction that may give rise to a conflict with the interests of its customers, it will disclose this fact before acting for that customer. The disclosure should be </w:t>
      </w:r>
      <w:r w:rsidRPr="000F7654">
        <w:rPr>
          <w:rFonts w:cs="Calibri"/>
          <w:sz w:val="20"/>
          <w:szCs w:val="20"/>
        </w:rPr>
        <w:lastRenderedPageBreak/>
        <w:t xml:space="preserve">appropriately clear and concise and contain sufficient detail to enable the customer to make an informed decision as to how the conflict may affect the service being provided.  </w:t>
      </w:r>
      <w:r w:rsidR="00BE4FAA">
        <w:rPr>
          <w:sz w:val="20"/>
          <w:szCs w:val="20"/>
        </w:rPr>
        <w:t xml:space="preserve">Zodiac </w:t>
      </w:r>
      <w:r w:rsidRPr="000F7654">
        <w:rPr>
          <w:rFonts w:cs="Calibri"/>
          <w:sz w:val="20"/>
          <w:szCs w:val="20"/>
        </w:rPr>
        <w:t xml:space="preserve">will </w:t>
      </w:r>
      <w:r w:rsidRPr="000F7654">
        <w:rPr>
          <w:rFonts w:cs="Calibri"/>
          <w:sz w:val="20"/>
          <w:szCs w:val="20"/>
          <w:u w:val="single"/>
        </w:rPr>
        <w:t>not</w:t>
      </w:r>
      <w:r w:rsidRPr="000F7654">
        <w:rPr>
          <w:rFonts w:cs="Calibri"/>
          <w:sz w:val="20"/>
          <w:szCs w:val="20"/>
        </w:rPr>
        <w:t xml:space="preserve"> </w:t>
      </w:r>
      <w:proofErr w:type="gramStart"/>
      <w:r w:rsidRPr="000F7654">
        <w:rPr>
          <w:rFonts w:cs="Calibri"/>
          <w:sz w:val="20"/>
          <w:szCs w:val="20"/>
        </w:rPr>
        <w:t>enter into</w:t>
      </w:r>
      <w:proofErr w:type="gramEnd"/>
      <w:r w:rsidRPr="000F7654">
        <w:rPr>
          <w:rFonts w:cs="Calibri"/>
          <w:sz w:val="20"/>
          <w:szCs w:val="20"/>
        </w:rPr>
        <w:t xml:space="preserve"> any transaction with or for a customer if it has reason to believe that the customer has objected to </w:t>
      </w:r>
      <w:r w:rsidR="003E22DC">
        <w:rPr>
          <w:rFonts w:cs="Calibri"/>
          <w:sz w:val="20"/>
          <w:szCs w:val="20"/>
        </w:rPr>
        <w:t>a disclosed</w:t>
      </w:r>
      <w:r w:rsidRPr="000F7654">
        <w:rPr>
          <w:rFonts w:cs="Calibri"/>
          <w:sz w:val="20"/>
          <w:szCs w:val="20"/>
        </w:rPr>
        <w:t xml:space="preserve"> conflict of interest.  </w:t>
      </w:r>
    </w:p>
    <w:p w14:paraId="2CF23C86" w14:textId="77777777" w:rsidR="000F7654" w:rsidRPr="000F7654" w:rsidRDefault="000F7654" w:rsidP="000F7654">
      <w:pPr>
        <w:autoSpaceDE w:val="0"/>
        <w:autoSpaceDN w:val="0"/>
        <w:adjustRightInd w:val="0"/>
        <w:spacing w:after="240" w:line="240" w:lineRule="auto"/>
        <w:jc w:val="both"/>
        <w:rPr>
          <w:rFonts w:cs="Calibri"/>
          <w:sz w:val="20"/>
          <w:szCs w:val="20"/>
        </w:rPr>
      </w:pPr>
      <w:r w:rsidRPr="000F7654">
        <w:rPr>
          <w:rFonts w:eastAsiaTheme="minorHAnsi" w:cs="Calibri"/>
          <w:sz w:val="20"/>
          <w:szCs w:val="20"/>
          <w:lang w:val="en-GB" w:bidi="ar-SA"/>
        </w:rPr>
        <w:t xml:space="preserve">Disclosure of conflicts of interest will not exempt </w:t>
      </w:r>
      <w:r w:rsidR="00BE4FAA">
        <w:rPr>
          <w:sz w:val="20"/>
          <w:szCs w:val="20"/>
        </w:rPr>
        <w:t xml:space="preserve">Zodiac </w:t>
      </w:r>
      <w:r w:rsidRPr="000F7654">
        <w:rPr>
          <w:rFonts w:eastAsiaTheme="minorHAnsi" w:cs="Calibri"/>
          <w:sz w:val="20"/>
          <w:szCs w:val="20"/>
          <w:lang w:val="en-GB" w:bidi="ar-SA"/>
        </w:rPr>
        <w:t>from the obligation to maintain and operate effective organisational and administrative arrangements. While disclosure of specific conflicts of interest is a requirement, an over-reliance on disclosure without adequate consideration as to how conflicts may be appropriately be managed is not permitted and will not be tolerated.</w:t>
      </w:r>
    </w:p>
    <w:p w14:paraId="16A43179" w14:textId="77777777" w:rsidR="000F7654" w:rsidRPr="00DD7C48" w:rsidRDefault="000F7654" w:rsidP="000F7654">
      <w:pPr>
        <w:rPr>
          <w:rFonts w:ascii="Berlin Sans FB Demi" w:hAnsi="Berlin Sans FB Demi"/>
          <w:color w:val="2F5496" w:themeColor="accent1" w:themeShade="BF"/>
          <w:sz w:val="36"/>
          <w:szCs w:val="36"/>
        </w:rPr>
      </w:pPr>
      <w:r w:rsidRPr="00DD7C48">
        <w:rPr>
          <w:rFonts w:ascii="Berlin Sans FB Demi" w:hAnsi="Berlin Sans FB Demi"/>
          <w:color w:val="2F5496" w:themeColor="accent1" w:themeShade="BF"/>
          <w:sz w:val="36"/>
          <w:szCs w:val="36"/>
        </w:rPr>
        <w:t>Declining to Act for a Customer</w:t>
      </w:r>
    </w:p>
    <w:p w14:paraId="340AB252" w14:textId="77777777" w:rsidR="000F7654" w:rsidRPr="000F7654" w:rsidRDefault="000F7654" w:rsidP="000F7654">
      <w:pPr>
        <w:jc w:val="both"/>
        <w:rPr>
          <w:sz w:val="20"/>
          <w:szCs w:val="20"/>
        </w:rPr>
      </w:pPr>
      <w:r w:rsidRPr="000F7654">
        <w:rPr>
          <w:sz w:val="20"/>
          <w:szCs w:val="20"/>
        </w:rPr>
        <w:t xml:space="preserve">If </w:t>
      </w:r>
      <w:r w:rsidR="00BE4FAA">
        <w:rPr>
          <w:sz w:val="20"/>
          <w:szCs w:val="20"/>
        </w:rPr>
        <w:t xml:space="preserve">Zodiac </w:t>
      </w:r>
      <w:r w:rsidRPr="000F7654">
        <w:rPr>
          <w:sz w:val="20"/>
          <w:szCs w:val="20"/>
        </w:rPr>
        <w:t>decides that a conflict of interest cannot be managed effectively by disclosing the conflict of interest to the customer or by its policy of independence, it will decline to act for that customer. This will be a Senior Management decision.</w:t>
      </w:r>
    </w:p>
    <w:p w14:paraId="1967B295" w14:textId="77777777" w:rsidR="000F7654" w:rsidRPr="00DD7C48" w:rsidRDefault="000F7654" w:rsidP="000F7654">
      <w:pPr>
        <w:rPr>
          <w:color w:val="2F5496" w:themeColor="accent1" w:themeShade="BF"/>
        </w:rPr>
      </w:pPr>
      <w:r w:rsidRPr="00DD7C48">
        <w:rPr>
          <w:rFonts w:ascii="Berlin Sans FB Demi" w:hAnsi="Berlin Sans FB Demi"/>
          <w:color w:val="2F5496" w:themeColor="accent1" w:themeShade="BF"/>
          <w:sz w:val="36"/>
          <w:szCs w:val="36"/>
        </w:rPr>
        <w:t>Disclosure of Outside Business Interests</w:t>
      </w:r>
    </w:p>
    <w:p w14:paraId="3A3AB9D9" w14:textId="77777777" w:rsidR="000F7654" w:rsidRPr="000F7654" w:rsidRDefault="000F7654" w:rsidP="000F7654">
      <w:pPr>
        <w:jc w:val="both"/>
        <w:rPr>
          <w:sz w:val="20"/>
          <w:szCs w:val="20"/>
          <w:lang w:eastAsia="en-GB"/>
        </w:rPr>
      </w:pPr>
      <w:r w:rsidRPr="000F7654">
        <w:rPr>
          <w:sz w:val="20"/>
          <w:szCs w:val="20"/>
          <w:lang w:eastAsia="en-GB"/>
        </w:rPr>
        <w:t xml:space="preserve">An outside business interest is any activity you are engaged </w:t>
      </w:r>
      <w:proofErr w:type="gramStart"/>
      <w:r w:rsidRPr="000F7654">
        <w:rPr>
          <w:sz w:val="20"/>
          <w:szCs w:val="20"/>
          <w:lang w:eastAsia="en-GB"/>
        </w:rPr>
        <w:t>in</w:t>
      </w:r>
      <w:proofErr w:type="gramEnd"/>
      <w:r w:rsidRPr="000F7654">
        <w:rPr>
          <w:sz w:val="20"/>
          <w:szCs w:val="20"/>
          <w:lang w:eastAsia="en-GB"/>
        </w:rPr>
        <w:t xml:space="preserve"> being a non-</w:t>
      </w:r>
      <w:r w:rsidRPr="000F7654">
        <w:rPr>
          <w:rFonts w:cs="Calibri"/>
          <w:sz w:val="20"/>
          <w:szCs w:val="20"/>
        </w:rPr>
        <w:t xml:space="preserve"> </w:t>
      </w:r>
      <w:r w:rsidR="00BE4FAA">
        <w:rPr>
          <w:sz w:val="20"/>
          <w:szCs w:val="20"/>
        </w:rPr>
        <w:t xml:space="preserve">Zodiac </w:t>
      </w:r>
      <w:r w:rsidRPr="000F7654">
        <w:rPr>
          <w:sz w:val="20"/>
          <w:szCs w:val="20"/>
          <w:lang w:eastAsia="en-GB"/>
        </w:rPr>
        <w:t xml:space="preserve">business. This includes being employed by another person, or serving as an officer, director, partner or consultant, or whether you receive compensation from another </w:t>
      </w:r>
      <w:proofErr w:type="spellStart"/>
      <w:r w:rsidRPr="000F7654">
        <w:rPr>
          <w:sz w:val="20"/>
          <w:szCs w:val="20"/>
          <w:lang w:eastAsia="en-GB"/>
        </w:rPr>
        <w:t>organisation</w:t>
      </w:r>
      <w:proofErr w:type="spellEnd"/>
      <w:r w:rsidRPr="000F7654">
        <w:rPr>
          <w:sz w:val="20"/>
          <w:szCs w:val="20"/>
          <w:lang w:eastAsia="en-GB"/>
        </w:rPr>
        <w:t xml:space="preserve"> (including a family business).  It also includes any fees for a work product such as an article or speech or position held at the request of, or as part of your role with </w:t>
      </w:r>
      <w:r w:rsidR="00BE4FAA">
        <w:rPr>
          <w:sz w:val="20"/>
          <w:szCs w:val="20"/>
        </w:rPr>
        <w:t>Zodiac</w:t>
      </w:r>
      <w:r w:rsidRPr="000F7654">
        <w:rPr>
          <w:sz w:val="20"/>
          <w:szCs w:val="20"/>
          <w:lang w:eastAsia="en-GB"/>
        </w:rPr>
        <w:t xml:space="preserve">.  Civic activities such as participating in elected or appointed political posts are also included, as are other community enterprises, and serving as a director, officer or employee of, or consultant to, a non-profit </w:t>
      </w:r>
      <w:proofErr w:type="spellStart"/>
      <w:r w:rsidRPr="000F7654">
        <w:rPr>
          <w:sz w:val="20"/>
          <w:szCs w:val="20"/>
          <w:lang w:eastAsia="en-GB"/>
        </w:rPr>
        <w:t>organisation</w:t>
      </w:r>
      <w:proofErr w:type="spellEnd"/>
      <w:r w:rsidRPr="000F7654">
        <w:rPr>
          <w:sz w:val="20"/>
          <w:szCs w:val="20"/>
          <w:lang w:eastAsia="en-GB"/>
        </w:rPr>
        <w:t xml:space="preserve">.  </w:t>
      </w:r>
    </w:p>
    <w:p w14:paraId="79F88AC0" w14:textId="77777777" w:rsidR="000F7654" w:rsidRPr="000F7654" w:rsidRDefault="000F7654" w:rsidP="000F7654">
      <w:pPr>
        <w:jc w:val="both"/>
        <w:rPr>
          <w:sz w:val="20"/>
          <w:szCs w:val="20"/>
          <w:lang w:eastAsia="en-GB"/>
        </w:rPr>
      </w:pPr>
      <w:r w:rsidRPr="000F7654">
        <w:rPr>
          <w:sz w:val="20"/>
          <w:szCs w:val="20"/>
          <w:lang w:eastAsia="en-GB"/>
        </w:rPr>
        <w:t>All staff (including Board members) must disclose in writing to the Compliance Officer all external directorships, partnerships or similar interests in any business prior to employment or taking up such an appointment and annually thereafter by completing the Employee Statement and Declarations Form.</w:t>
      </w:r>
    </w:p>
    <w:p w14:paraId="4EEFEE8C" w14:textId="77777777" w:rsidR="000F7654" w:rsidRPr="000F7654" w:rsidRDefault="000F7654" w:rsidP="000F7654">
      <w:pPr>
        <w:jc w:val="both"/>
        <w:rPr>
          <w:sz w:val="20"/>
          <w:szCs w:val="20"/>
          <w:lang w:eastAsia="en-GB"/>
        </w:rPr>
      </w:pPr>
      <w:r w:rsidRPr="000F7654">
        <w:rPr>
          <w:sz w:val="20"/>
          <w:szCs w:val="20"/>
          <w:lang w:eastAsia="en-GB"/>
        </w:rPr>
        <w:t xml:space="preserve">As part of the annual Fitness and Propriety assessment the Compliance Officer will make appropriate checks on any disclosures.   </w:t>
      </w:r>
    </w:p>
    <w:p w14:paraId="659F4201" w14:textId="77777777" w:rsidR="000F7654" w:rsidRPr="000F7654" w:rsidRDefault="000F7654" w:rsidP="000F7654">
      <w:pPr>
        <w:jc w:val="both"/>
        <w:rPr>
          <w:sz w:val="20"/>
          <w:szCs w:val="20"/>
          <w:lang w:eastAsia="en-GB"/>
        </w:rPr>
      </w:pPr>
      <w:r w:rsidRPr="000F7654">
        <w:rPr>
          <w:sz w:val="20"/>
          <w:szCs w:val="20"/>
          <w:lang w:eastAsia="en-GB"/>
        </w:rPr>
        <w:t>A disclosure can be made in writing, but must contain the following information:</w:t>
      </w:r>
    </w:p>
    <w:p w14:paraId="29B415B4" w14:textId="77777777" w:rsidR="000F7654" w:rsidRPr="000F7654" w:rsidRDefault="000F7654" w:rsidP="000F7654">
      <w:pPr>
        <w:ind w:left="360" w:hanging="360"/>
        <w:jc w:val="both"/>
        <w:rPr>
          <w:rFonts w:cs="Arial"/>
          <w:sz w:val="20"/>
          <w:szCs w:val="20"/>
        </w:rPr>
      </w:pPr>
      <w:r w:rsidRPr="000F7654">
        <w:rPr>
          <w:rFonts w:cs="Arial"/>
          <w:sz w:val="20"/>
          <w:szCs w:val="20"/>
        </w:rPr>
        <w:t>a)</w:t>
      </w:r>
      <w:r w:rsidRPr="000F7654">
        <w:rPr>
          <w:rFonts w:cs="Arial"/>
          <w:sz w:val="20"/>
          <w:szCs w:val="20"/>
        </w:rPr>
        <w:tab/>
        <w:t>Proposed date of appointment</w:t>
      </w:r>
    </w:p>
    <w:p w14:paraId="7CB15F19" w14:textId="77777777" w:rsidR="000F7654" w:rsidRPr="000F7654" w:rsidRDefault="000F7654" w:rsidP="000F7654">
      <w:pPr>
        <w:ind w:left="360" w:hanging="360"/>
        <w:jc w:val="both"/>
        <w:rPr>
          <w:rFonts w:cs="Arial"/>
          <w:sz w:val="20"/>
          <w:szCs w:val="20"/>
        </w:rPr>
      </w:pPr>
      <w:r w:rsidRPr="000F7654">
        <w:rPr>
          <w:rFonts w:cs="Arial"/>
          <w:sz w:val="20"/>
          <w:szCs w:val="20"/>
        </w:rPr>
        <w:t>b)</w:t>
      </w:r>
      <w:r w:rsidRPr="000F7654">
        <w:rPr>
          <w:rFonts w:cs="Arial"/>
          <w:sz w:val="20"/>
          <w:szCs w:val="20"/>
        </w:rPr>
        <w:tab/>
        <w:t>Term of appointment, if applicable</w:t>
      </w:r>
    </w:p>
    <w:p w14:paraId="3B9A3193" w14:textId="77777777" w:rsidR="000F7654" w:rsidRPr="000F7654" w:rsidRDefault="000F7654" w:rsidP="000F7654">
      <w:pPr>
        <w:ind w:left="360" w:hanging="360"/>
        <w:jc w:val="both"/>
        <w:rPr>
          <w:rFonts w:cs="Arial"/>
          <w:sz w:val="20"/>
          <w:szCs w:val="20"/>
        </w:rPr>
      </w:pPr>
      <w:r w:rsidRPr="000F7654">
        <w:rPr>
          <w:rFonts w:cs="Arial"/>
          <w:sz w:val="20"/>
          <w:szCs w:val="20"/>
        </w:rPr>
        <w:t>c)</w:t>
      </w:r>
      <w:r w:rsidRPr="000F7654">
        <w:rPr>
          <w:rFonts w:cs="Arial"/>
          <w:sz w:val="20"/>
          <w:szCs w:val="20"/>
        </w:rPr>
        <w:tab/>
        <w:t>Brief summary of responsibilities, and</w:t>
      </w:r>
    </w:p>
    <w:p w14:paraId="256CB908" w14:textId="77777777" w:rsidR="000F7654" w:rsidRPr="000F7654" w:rsidRDefault="000F7654" w:rsidP="000F7654">
      <w:pPr>
        <w:ind w:left="360" w:hanging="360"/>
        <w:jc w:val="both"/>
        <w:rPr>
          <w:rFonts w:cs="Arial"/>
          <w:sz w:val="20"/>
          <w:szCs w:val="20"/>
        </w:rPr>
      </w:pPr>
      <w:r w:rsidRPr="000F7654">
        <w:rPr>
          <w:rFonts w:cs="Arial"/>
          <w:sz w:val="20"/>
          <w:szCs w:val="20"/>
        </w:rPr>
        <w:t>d)</w:t>
      </w:r>
      <w:r w:rsidRPr="000F7654">
        <w:rPr>
          <w:rFonts w:cs="Arial"/>
          <w:sz w:val="20"/>
          <w:szCs w:val="20"/>
        </w:rPr>
        <w:tab/>
        <w:t xml:space="preserve">Any other information relevant to the appointment that could impact on your business function at </w:t>
      </w:r>
      <w:r w:rsidR="00BE4FAA">
        <w:rPr>
          <w:rFonts w:cs="Calibri"/>
          <w:sz w:val="20"/>
          <w:szCs w:val="20"/>
        </w:rPr>
        <w:t xml:space="preserve">ZODIAC </w:t>
      </w:r>
    </w:p>
    <w:p w14:paraId="57033F92" w14:textId="062645E5" w:rsidR="000F7654" w:rsidRPr="000F7654" w:rsidRDefault="000F7654" w:rsidP="000F7654">
      <w:pPr>
        <w:jc w:val="both"/>
        <w:rPr>
          <w:sz w:val="20"/>
          <w:szCs w:val="20"/>
          <w:lang w:eastAsia="en-GB"/>
        </w:rPr>
      </w:pPr>
      <w:r w:rsidRPr="000F7654">
        <w:rPr>
          <w:sz w:val="20"/>
          <w:szCs w:val="20"/>
          <w:lang w:eastAsia="en-GB"/>
        </w:rPr>
        <w:t xml:space="preserve">Once a disclosure has been made, a response will be provided within seven days.  </w:t>
      </w:r>
      <w:r w:rsidR="003E22DC">
        <w:rPr>
          <w:sz w:val="20"/>
          <w:szCs w:val="20"/>
          <w:lang w:eastAsia="en-GB"/>
        </w:rPr>
        <w:t>A board member</w:t>
      </w:r>
      <w:r w:rsidRPr="000F7654">
        <w:rPr>
          <w:sz w:val="20"/>
          <w:szCs w:val="20"/>
          <w:lang w:eastAsia="en-GB"/>
        </w:rPr>
        <w:t xml:space="preserve"> must sign this response. The disclosure response detailing whether the disclosure was ‘approved’ or ‘declined’ must be held in the HR Employee’s file.  </w:t>
      </w:r>
    </w:p>
    <w:p w14:paraId="794E7953" w14:textId="77777777" w:rsidR="001D4EBC" w:rsidRDefault="001D4EBC" w:rsidP="000F7654">
      <w:pPr>
        <w:rPr>
          <w:rFonts w:ascii="Berlin Sans FB Demi" w:hAnsi="Berlin Sans FB Demi"/>
          <w:color w:val="2F5496" w:themeColor="accent1" w:themeShade="BF"/>
          <w:sz w:val="36"/>
          <w:szCs w:val="36"/>
        </w:rPr>
      </w:pPr>
    </w:p>
    <w:p w14:paraId="2EA528E9" w14:textId="77777777" w:rsidR="001D4EBC" w:rsidRDefault="001D4EBC" w:rsidP="000F7654">
      <w:pPr>
        <w:rPr>
          <w:rFonts w:ascii="Berlin Sans FB Demi" w:hAnsi="Berlin Sans FB Demi"/>
          <w:color w:val="2F5496" w:themeColor="accent1" w:themeShade="BF"/>
          <w:sz w:val="36"/>
          <w:szCs w:val="36"/>
        </w:rPr>
      </w:pPr>
    </w:p>
    <w:p w14:paraId="77533366" w14:textId="77777777" w:rsidR="001D4EBC" w:rsidRDefault="001D4EBC" w:rsidP="000F7654">
      <w:pPr>
        <w:rPr>
          <w:rFonts w:ascii="Berlin Sans FB Demi" w:hAnsi="Berlin Sans FB Demi"/>
          <w:color w:val="2F5496" w:themeColor="accent1" w:themeShade="BF"/>
          <w:sz w:val="36"/>
          <w:szCs w:val="36"/>
        </w:rPr>
      </w:pPr>
    </w:p>
    <w:p w14:paraId="504A2FDD" w14:textId="77777777" w:rsidR="001D4EBC" w:rsidRDefault="001D4EBC" w:rsidP="000F7654">
      <w:pPr>
        <w:rPr>
          <w:rFonts w:ascii="Berlin Sans FB Demi" w:hAnsi="Berlin Sans FB Demi"/>
          <w:color w:val="2F5496" w:themeColor="accent1" w:themeShade="BF"/>
          <w:sz w:val="36"/>
          <w:szCs w:val="36"/>
        </w:rPr>
      </w:pPr>
    </w:p>
    <w:p w14:paraId="32AAB1CF" w14:textId="4DE7CA56" w:rsidR="000F7654" w:rsidRPr="00DD7C48" w:rsidRDefault="000F7654" w:rsidP="000F7654">
      <w:pPr>
        <w:rPr>
          <w:color w:val="2F5496" w:themeColor="accent1" w:themeShade="BF"/>
        </w:rPr>
      </w:pPr>
      <w:r w:rsidRPr="00DD7C48">
        <w:rPr>
          <w:rFonts w:ascii="Berlin Sans FB Demi" w:hAnsi="Berlin Sans FB Demi"/>
          <w:color w:val="2F5496" w:themeColor="accent1" w:themeShade="BF"/>
          <w:sz w:val="36"/>
          <w:szCs w:val="36"/>
        </w:rPr>
        <w:t>Responsibility for Identifying and Managing Conflicts</w:t>
      </w:r>
    </w:p>
    <w:p w14:paraId="59743002" w14:textId="77777777" w:rsidR="000F7654" w:rsidRPr="000F7654" w:rsidRDefault="000F7654" w:rsidP="000F7654">
      <w:pPr>
        <w:rPr>
          <w:rFonts w:cs="Calibri"/>
          <w:sz w:val="20"/>
          <w:szCs w:val="20"/>
          <w:lang w:eastAsia="en-GB"/>
        </w:rPr>
      </w:pPr>
      <w:r w:rsidRPr="000F7654">
        <w:rPr>
          <w:rFonts w:cs="Calibri"/>
          <w:sz w:val="20"/>
          <w:szCs w:val="20"/>
          <w:lang w:eastAsia="en-GB"/>
        </w:rPr>
        <w:t xml:space="preserve">In the first instance, the Compliance Officer is responsible for identifying and resolving conflicts of interest arising from activities within </w:t>
      </w:r>
      <w:proofErr w:type="gramStart"/>
      <w:r w:rsidR="00BE4FAA">
        <w:rPr>
          <w:sz w:val="20"/>
          <w:szCs w:val="20"/>
        </w:rPr>
        <w:t>Zodiac</w:t>
      </w:r>
      <w:proofErr w:type="gramEnd"/>
      <w:r w:rsidRPr="000F7654">
        <w:rPr>
          <w:rFonts w:cs="Calibri"/>
          <w:sz w:val="20"/>
          <w:szCs w:val="20"/>
          <w:lang w:eastAsia="en-GB"/>
        </w:rPr>
        <w:t xml:space="preserve">.  To address such conflicts the following options will be </w:t>
      </w:r>
      <w:proofErr w:type="gramStart"/>
      <w:r w:rsidRPr="000F7654">
        <w:rPr>
          <w:rFonts w:cs="Calibri"/>
          <w:sz w:val="20"/>
          <w:szCs w:val="20"/>
          <w:lang w:eastAsia="en-GB"/>
        </w:rPr>
        <w:t>considered;</w:t>
      </w:r>
      <w:proofErr w:type="gramEnd"/>
    </w:p>
    <w:p w14:paraId="5962A673" w14:textId="77777777" w:rsidR="000F7654" w:rsidRPr="000F7654" w:rsidRDefault="000F7654" w:rsidP="000F7654">
      <w:pPr>
        <w:pStyle w:val="Bullet1"/>
        <w:numPr>
          <w:ilvl w:val="0"/>
          <w:numId w:val="4"/>
        </w:numPr>
        <w:rPr>
          <w:rFonts w:ascii="Calibri" w:hAnsi="Calibri" w:cs="Calibri"/>
          <w:color w:val="auto"/>
          <w:sz w:val="20"/>
          <w:szCs w:val="20"/>
        </w:rPr>
      </w:pPr>
      <w:r w:rsidRPr="000F7654">
        <w:rPr>
          <w:rFonts w:ascii="Calibri" w:hAnsi="Calibri" w:cs="Calibri"/>
          <w:color w:val="auto"/>
          <w:sz w:val="20"/>
          <w:szCs w:val="20"/>
        </w:rPr>
        <w:t>Disclosure of the potential conflict</w:t>
      </w:r>
    </w:p>
    <w:p w14:paraId="38986EEE" w14:textId="77777777" w:rsidR="000F7654" w:rsidRPr="000F7654" w:rsidRDefault="000F7654" w:rsidP="000F7654">
      <w:pPr>
        <w:pStyle w:val="Bullet1"/>
        <w:numPr>
          <w:ilvl w:val="0"/>
          <w:numId w:val="4"/>
        </w:numPr>
        <w:rPr>
          <w:rFonts w:ascii="Calibri" w:hAnsi="Calibri" w:cs="Calibri"/>
          <w:color w:val="auto"/>
          <w:sz w:val="20"/>
          <w:szCs w:val="20"/>
        </w:rPr>
      </w:pPr>
      <w:r w:rsidRPr="000F7654">
        <w:rPr>
          <w:rFonts w:ascii="Calibri" w:hAnsi="Calibri" w:cs="Calibri"/>
          <w:color w:val="auto"/>
          <w:sz w:val="20"/>
          <w:szCs w:val="20"/>
        </w:rPr>
        <w:t>Policy of independence and separate supervision of staff</w:t>
      </w:r>
    </w:p>
    <w:p w14:paraId="4AE4828B" w14:textId="77777777" w:rsidR="000F7654" w:rsidRPr="000F7654" w:rsidRDefault="000F7654" w:rsidP="000F7654">
      <w:pPr>
        <w:pStyle w:val="Bullet1"/>
        <w:numPr>
          <w:ilvl w:val="0"/>
          <w:numId w:val="4"/>
        </w:numPr>
        <w:rPr>
          <w:rFonts w:ascii="Calibri" w:hAnsi="Calibri" w:cs="Calibri"/>
          <w:color w:val="auto"/>
          <w:sz w:val="20"/>
          <w:szCs w:val="20"/>
        </w:rPr>
      </w:pPr>
      <w:r w:rsidRPr="000F7654">
        <w:rPr>
          <w:rFonts w:ascii="Calibri" w:hAnsi="Calibri" w:cs="Calibri"/>
          <w:color w:val="auto"/>
          <w:sz w:val="20"/>
          <w:szCs w:val="20"/>
        </w:rPr>
        <w:t>Removal of undue influence</w:t>
      </w:r>
    </w:p>
    <w:p w14:paraId="3B70DF6B" w14:textId="77777777" w:rsidR="000F7654" w:rsidRPr="000F7654" w:rsidRDefault="000F7654" w:rsidP="000F7654">
      <w:pPr>
        <w:pStyle w:val="Bullet1"/>
        <w:numPr>
          <w:ilvl w:val="0"/>
          <w:numId w:val="4"/>
        </w:numPr>
        <w:rPr>
          <w:rFonts w:ascii="Calibri" w:hAnsi="Calibri" w:cs="Calibri"/>
          <w:color w:val="auto"/>
          <w:sz w:val="20"/>
          <w:szCs w:val="20"/>
        </w:rPr>
      </w:pPr>
      <w:r w:rsidRPr="000F7654">
        <w:rPr>
          <w:rFonts w:ascii="Calibri" w:hAnsi="Calibri" w:cs="Calibri"/>
          <w:color w:val="auto"/>
          <w:sz w:val="20"/>
          <w:szCs w:val="20"/>
        </w:rPr>
        <w:t xml:space="preserve">Clear allocation of responsibilities to individuals, and </w:t>
      </w:r>
    </w:p>
    <w:p w14:paraId="7437EC4D" w14:textId="77777777" w:rsidR="000F7654" w:rsidRPr="000F7654" w:rsidRDefault="000F7654" w:rsidP="000F7654">
      <w:pPr>
        <w:pStyle w:val="Bullet1"/>
        <w:numPr>
          <w:ilvl w:val="0"/>
          <w:numId w:val="4"/>
        </w:numPr>
        <w:rPr>
          <w:rFonts w:ascii="Calibri" w:hAnsi="Calibri" w:cs="Calibri"/>
          <w:color w:val="auto"/>
          <w:sz w:val="20"/>
          <w:szCs w:val="20"/>
        </w:rPr>
      </w:pPr>
      <w:r w:rsidRPr="000F7654">
        <w:rPr>
          <w:rFonts w:ascii="Calibri" w:hAnsi="Calibri" w:cs="Calibri"/>
          <w:color w:val="auto"/>
          <w:sz w:val="20"/>
          <w:szCs w:val="20"/>
        </w:rPr>
        <w:t>Declining to act for one party</w:t>
      </w:r>
    </w:p>
    <w:p w14:paraId="20713D69" w14:textId="089612DA" w:rsidR="000F7654" w:rsidRPr="000F7654" w:rsidRDefault="000F7654" w:rsidP="000F7654">
      <w:pPr>
        <w:jc w:val="both"/>
        <w:rPr>
          <w:sz w:val="20"/>
          <w:szCs w:val="20"/>
          <w:lang w:eastAsia="en-GB"/>
        </w:rPr>
      </w:pPr>
      <w:r w:rsidRPr="000F7654">
        <w:rPr>
          <w:sz w:val="20"/>
          <w:szCs w:val="20"/>
          <w:lang w:eastAsia="en-GB"/>
        </w:rPr>
        <w:t>The Compliance Officer will maintain a record of any identified conflicts of interest and any action taken, which be reviewed periodically, at least annually by the Board.</w:t>
      </w:r>
    </w:p>
    <w:p w14:paraId="334DAD4D" w14:textId="77777777" w:rsidR="000F7654" w:rsidRPr="000F7654" w:rsidRDefault="000F7654" w:rsidP="000F7654">
      <w:pPr>
        <w:rPr>
          <w:sz w:val="20"/>
          <w:szCs w:val="20"/>
          <w:lang w:eastAsia="en-GB"/>
        </w:rPr>
      </w:pPr>
      <w:r w:rsidRPr="000F7654">
        <w:rPr>
          <w:sz w:val="20"/>
          <w:szCs w:val="20"/>
          <w:lang w:eastAsia="en-GB"/>
        </w:rPr>
        <w:t>Ultimate responsibility for addressing and resolving conflicts of interest resides with the Board.</w:t>
      </w:r>
    </w:p>
    <w:p w14:paraId="45FE39BD" w14:textId="77777777" w:rsidR="000F7654" w:rsidRPr="00DD7C48" w:rsidRDefault="000F7654" w:rsidP="000F7654">
      <w:pPr>
        <w:rPr>
          <w:rFonts w:ascii="Berlin Sans FB Demi" w:hAnsi="Berlin Sans FB Demi"/>
          <w:color w:val="2F5496" w:themeColor="accent1" w:themeShade="BF"/>
          <w:sz w:val="36"/>
          <w:szCs w:val="36"/>
        </w:rPr>
      </w:pPr>
      <w:r w:rsidRPr="00DD7C48">
        <w:rPr>
          <w:rFonts w:ascii="Berlin Sans FB Demi" w:hAnsi="Berlin Sans FB Demi"/>
          <w:color w:val="2F5496" w:themeColor="accent1" w:themeShade="BF"/>
          <w:sz w:val="36"/>
          <w:szCs w:val="36"/>
        </w:rPr>
        <w:t>Chinese Walls</w:t>
      </w:r>
    </w:p>
    <w:p w14:paraId="44F9EE89" w14:textId="68C183B6" w:rsidR="000F7654" w:rsidRPr="000F7654" w:rsidRDefault="003E22DC" w:rsidP="000F7654">
      <w:pPr>
        <w:autoSpaceDE w:val="0"/>
        <w:autoSpaceDN w:val="0"/>
        <w:adjustRightInd w:val="0"/>
        <w:spacing w:after="0" w:line="240" w:lineRule="auto"/>
        <w:jc w:val="both"/>
        <w:rPr>
          <w:rFonts w:eastAsiaTheme="minorHAnsi" w:cs="Calibri"/>
          <w:sz w:val="20"/>
          <w:szCs w:val="20"/>
          <w:lang w:val="en-GB" w:bidi="ar-SA"/>
        </w:rPr>
      </w:pPr>
      <w:r>
        <w:rPr>
          <w:rFonts w:cs="Calibri"/>
          <w:sz w:val="20"/>
          <w:szCs w:val="20"/>
        </w:rPr>
        <w:t>Where required, Compliance will impose</w:t>
      </w:r>
      <w:r w:rsidR="000F7654" w:rsidRPr="000F7654">
        <w:rPr>
          <w:rFonts w:cs="Calibri"/>
          <w:sz w:val="20"/>
          <w:szCs w:val="20"/>
        </w:rPr>
        <w:t xml:space="preserve"> procedures </w:t>
      </w:r>
      <w:r w:rsidR="000F7654" w:rsidRPr="000F7654">
        <w:rPr>
          <w:rFonts w:eastAsiaTheme="minorHAnsi" w:cs="Calibri"/>
          <w:sz w:val="20"/>
          <w:szCs w:val="20"/>
          <w:lang w:val="en-GB" w:bidi="ar-SA"/>
        </w:rPr>
        <w:t>to prevent or control the exchange of information between relevant persons engaged in activities involving a risk of conflict of interest where the exchange of that information may harm the interests of one or more clients.</w:t>
      </w:r>
    </w:p>
    <w:p w14:paraId="4340E6AB" w14:textId="77777777" w:rsidR="000F7654" w:rsidRPr="000F7654" w:rsidRDefault="000F7654" w:rsidP="000F7654">
      <w:pPr>
        <w:autoSpaceDE w:val="0"/>
        <w:autoSpaceDN w:val="0"/>
        <w:adjustRightInd w:val="0"/>
        <w:spacing w:after="0" w:line="240" w:lineRule="auto"/>
        <w:jc w:val="both"/>
        <w:rPr>
          <w:rFonts w:eastAsiaTheme="minorHAnsi" w:cs="Calibri"/>
          <w:sz w:val="20"/>
          <w:szCs w:val="20"/>
          <w:lang w:val="en-GB" w:bidi="ar-SA"/>
        </w:rPr>
      </w:pPr>
    </w:p>
    <w:p w14:paraId="2BDE135A" w14:textId="77777777" w:rsidR="000F7654" w:rsidRPr="00DD7C48" w:rsidRDefault="000F7654" w:rsidP="000F7654">
      <w:pPr>
        <w:autoSpaceDE w:val="0"/>
        <w:autoSpaceDN w:val="0"/>
        <w:adjustRightInd w:val="0"/>
        <w:spacing w:after="0" w:line="240" w:lineRule="auto"/>
        <w:jc w:val="both"/>
        <w:rPr>
          <w:rFonts w:ascii="Berlin Sans FB Demi" w:hAnsi="Berlin Sans FB Demi"/>
          <w:color w:val="2F5496" w:themeColor="accent1" w:themeShade="BF"/>
          <w:sz w:val="36"/>
          <w:szCs w:val="36"/>
        </w:rPr>
      </w:pPr>
      <w:r w:rsidRPr="00DD7C48">
        <w:rPr>
          <w:rFonts w:ascii="Berlin Sans FB Demi" w:hAnsi="Berlin Sans FB Demi"/>
          <w:color w:val="2F5496" w:themeColor="accent1" w:themeShade="BF"/>
          <w:sz w:val="36"/>
          <w:szCs w:val="36"/>
        </w:rPr>
        <w:t>Inappropriate Influences</w:t>
      </w:r>
    </w:p>
    <w:p w14:paraId="01992663" w14:textId="77777777" w:rsidR="000F7654" w:rsidRPr="000F7654" w:rsidRDefault="000F7654" w:rsidP="000F7654">
      <w:pPr>
        <w:autoSpaceDE w:val="0"/>
        <w:autoSpaceDN w:val="0"/>
        <w:adjustRightInd w:val="0"/>
        <w:spacing w:after="0" w:line="240" w:lineRule="auto"/>
        <w:jc w:val="both"/>
        <w:rPr>
          <w:rFonts w:cs="Calibri"/>
          <w:sz w:val="20"/>
          <w:szCs w:val="20"/>
        </w:rPr>
      </w:pPr>
    </w:p>
    <w:p w14:paraId="6B624A67" w14:textId="77777777" w:rsidR="000F7654" w:rsidRPr="000F7654" w:rsidRDefault="000F7654" w:rsidP="000F7654">
      <w:pPr>
        <w:jc w:val="both"/>
        <w:rPr>
          <w:rFonts w:ascii="Berlin Sans FB Demi" w:hAnsi="Berlin Sans FB Demi"/>
          <w:sz w:val="36"/>
          <w:szCs w:val="36"/>
        </w:rPr>
      </w:pPr>
      <w:r w:rsidRPr="000F7654">
        <w:rPr>
          <w:sz w:val="20"/>
          <w:szCs w:val="20"/>
        </w:rPr>
        <w:t>Compliance will monitor and prevent any person exercising inappropriate influence over the way in which a relevant person carries out services or activities.</w:t>
      </w:r>
    </w:p>
    <w:p w14:paraId="34CD323A" w14:textId="77777777" w:rsidR="000F7654" w:rsidRPr="00DD7C48" w:rsidRDefault="000F7654" w:rsidP="000F7654">
      <w:pPr>
        <w:jc w:val="both"/>
        <w:rPr>
          <w:color w:val="2F5496" w:themeColor="accent1" w:themeShade="BF"/>
          <w:sz w:val="20"/>
          <w:szCs w:val="20"/>
        </w:rPr>
      </w:pPr>
      <w:r w:rsidRPr="00DD7C48">
        <w:rPr>
          <w:rFonts w:ascii="Berlin Sans FB Demi" w:hAnsi="Berlin Sans FB Demi"/>
          <w:color w:val="2F5496" w:themeColor="accent1" w:themeShade="BF"/>
          <w:sz w:val="36"/>
          <w:szCs w:val="36"/>
        </w:rPr>
        <w:t>Monitoring Conflicts</w:t>
      </w:r>
    </w:p>
    <w:p w14:paraId="3F0CB429" w14:textId="0032DA0F" w:rsidR="000F7654" w:rsidRPr="000F7654" w:rsidRDefault="000F7654" w:rsidP="000F7654">
      <w:pPr>
        <w:jc w:val="both"/>
        <w:rPr>
          <w:sz w:val="20"/>
          <w:szCs w:val="20"/>
        </w:rPr>
      </w:pPr>
      <w:r w:rsidRPr="000F7654">
        <w:rPr>
          <w:sz w:val="20"/>
          <w:szCs w:val="20"/>
        </w:rPr>
        <w:t xml:space="preserve">The Conflicts Register </w:t>
      </w:r>
      <w:r w:rsidR="00E1033F">
        <w:rPr>
          <w:sz w:val="20"/>
          <w:szCs w:val="20"/>
        </w:rPr>
        <w:t xml:space="preserve">&amp; Matrix </w:t>
      </w:r>
      <w:r w:rsidRPr="000F7654">
        <w:rPr>
          <w:sz w:val="20"/>
          <w:szCs w:val="20"/>
        </w:rPr>
        <w:t xml:space="preserve">is maintained by Compliance and reviewed </w:t>
      </w:r>
      <w:r w:rsidR="003F33D1">
        <w:rPr>
          <w:sz w:val="20"/>
          <w:szCs w:val="20"/>
        </w:rPr>
        <w:t>by the board.</w:t>
      </w:r>
    </w:p>
    <w:p w14:paraId="6568619C" w14:textId="77777777" w:rsidR="000F7654" w:rsidRPr="00DD7C48" w:rsidRDefault="000F7654" w:rsidP="000F7654">
      <w:pPr>
        <w:jc w:val="both"/>
        <w:rPr>
          <w:color w:val="2F5496" w:themeColor="accent1" w:themeShade="BF"/>
          <w:sz w:val="20"/>
          <w:szCs w:val="20"/>
        </w:rPr>
      </w:pPr>
      <w:r w:rsidRPr="00DD7C48">
        <w:rPr>
          <w:rFonts w:ascii="Berlin Sans FB Demi" w:hAnsi="Berlin Sans FB Demi"/>
          <w:color w:val="2F5496" w:themeColor="accent1" w:themeShade="BF"/>
          <w:sz w:val="36"/>
          <w:szCs w:val="36"/>
        </w:rPr>
        <w:t>Inducements</w:t>
      </w:r>
    </w:p>
    <w:p w14:paraId="65D2AA1F" w14:textId="0D681191" w:rsidR="000F7654" w:rsidRPr="003F33D1" w:rsidRDefault="000F7654" w:rsidP="000F7654">
      <w:pPr>
        <w:jc w:val="both"/>
        <w:rPr>
          <w:sz w:val="20"/>
          <w:szCs w:val="20"/>
        </w:rPr>
      </w:pPr>
      <w:r w:rsidRPr="000F7654">
        <w:rPr>
          <w:sz w:val="20"/>
          <w:szCs w:val="20"/>
        </w:rPr>
        <w:t xml:space="preserve">Inducements are covered by </w:t>
      </w:r>
      <w:r w:rsidR="003F33D1">
        <w:rPr>
          <w:sz w:val="20"/>
          <w:szCs w:val="20"/>
        </w:rPr>
        <w:t>Zodiac</w:t>
      </w:r>
      <w:r w:rsidR="00BE4FAA">
        <w:rPr>
          <w:sz w:val="20"/>
          <w:szCs w:val="20"/>
        </w:rPr>
        <w:t xml:space="preserve"> </w:t>
      </w:r>
      <w:r>
        <w:rPr>
          <w:sz w:val="20"/>
          <w:szCs w:val="20"/>
        </w:rPr>
        <w:t>’s</w:t>
      </w:r>
      <w:r w:rsidRPr="000F7654">
        <w:rPr>
          <w:sz w:val="20"/>
          <w:szCs w:val="20"/>
        </w:rPr>
        <w:t xml:space="preserve"> Gifts and Entertainment Policy.  Any conflicts will be identified and </w:t>
      </w:r>
      <w:proofErr w:type="gramStart"/>
      <w:r w:rsidRPr="000F7654">
        <w:rPr>
          <w:sz w:val="20"/>
          <w:szCs w:val="20"/>
        </w:rPr>
        <w:t>passed</w:t>
      </w:r>
      <w:proofErr w:type="gramEnd"/>
      <w:r w:rsidRPr="000F7654">
        <w:rPr>
          <w:sz w:val="20"/>
          <w:szCs w:val="20"/>
        </w:rPr>
        <w:t xml:space="preserve"> to</w:t>
      </w:r>
      <w:r w:rsidR="003F33D1">
        <w:rPr>
          <w:sz w:val="20"/>
          <w:szCs w:val="20"/>
        </w:rPr>
        <w:t xml:space="preserve"> the</w:t>
      </w:r>
      <w:r w:rsidRPr="000F7654">
        <w:rPr>
          <w:sz w:val="20"/>
          <w:szCs w:val="20"/>
        </w:rPr>
        <w:t xml:space="preserve"> Compliance Officer.</w:t>
      </w:r>
    </w:p>
    <w:p w14:paraId="5DD55661" w14:textId="77777777" w:rsidR="000F7654" w:rsidRPr="00DD7C48" w:rsidRDefault="000F7654" w:rsidP="000F7654">
      <w:pPr>
        <w:jc w:val="both"/>
        <w:rPr>
          <w:color w:val="2F5496" w:themeColor="accent1" w:themeShade="BF"/>
          <w:sz w:val="20"/>
          <w:szCs w:val="20"/>
        </w:rPr>
      </w:pPr>
      <w:r w:rsidRPr="00DD7C48">
        <w:rPr>
          <w:rFonts w:ascii="Berlin Sans FB Demi" w:hAnsi="Berlin Sans FB Demi"/>
          <w:color w:val="2F5496" w:themeColor="accent1" w:themeShade="BF"/>
          <w:sz w:val="36"/>
          <w:szCs w:val="36"/>
        </w:rPr>
        <w:t>PA Dealing</w:t>
      </w:r>
    </w:p>
    <w:p w14:paraId="5C5FAF63" w14:textId="5AE2D8E1" w:rsidR="000F7654" w:rsidRPr="000F7654" w:rsidRDefault="000F7654" w:rsidP="000F7654">
      <w:pPr>
        <w:jc w:val="both"/>
        <w:rPr>
          <w:sz w:val="20"/>
          <w:szCs w:val="20"/>
        </w:rPr>
      </w:pPr>
      <w:r w:rsidRPr="000F7654">
        <w:rPr>
          <w:sz w:val="20"/>
          <w:szCs w:val="20"/>
        </w:rPr>
        <w:t xml:space="preserve">Personal Account Dealing is covered by </w:t>
      </w:r>
      <w:r w:rsidR="00BE4FAA">
        <w:rPr>
          <w:sz w:val="20"/>
          <w:szCs w:val="20"/>
        </w:rPr>
        <w:t>Zodiac</w:t>
      </w:r>
      <w:r w:rsidRPr="000F7654">
        <w:rPr>
          <w:sz w:val="20"/>
          <w:szCs w:val="20"/>
        </w:rPr>
        <w:t xml:space="preserve">’s PAD Policy. Any conflicts will be identified and </w:t>
      </w:r>
      <w:proofErr w:type="gramStart"/>
      <w:r w:rsidRPr="000F7654">
        <w:rPr>
          <w:sz w:val="20"/>
          <w:szCs w:val="20"/>
        </w:rPr>
        <w:t>passed</w:t>
      </w:r>
      <w:proofErr w:type="gramEnd"/>
      <w:r w:rsidRPr="000F7654">
        <w:rPr>
          <w:sz w:val="20"/>
          <w:szCs w:val="20"/>
        </w:rPr>
        <w:t xml:space="preserve"> to </w:t>
      </w:r>
      <w:r w:rsidR="00540E67" w:rsidRPr="000F7654">
        <w:rPr>
          <w:sz w:val="20"/>
          <w:szCs w:val="20"/>
        </w:rPr>
        <w:t>the Compliance</w:t>
      </w:r>
      <w:r w:rsidRPr="000F7654">
        <w:rPr>
          <w:sz w:val="20"/>
          <w:szCs w:val="20"/>
        </w:rPr>
        <w:t xml:space="preserve"> Officer.</w:t>
      </w:r>
    </w:p>
    <w:p w14:paraId="7A3F1A63" w14:textId="77777777" w:rsidR="00540E67" w:rsidRDefault="00540E67" w:rsidP="000F7654">
      <w:pPr>
        <w:pStyle w:val="Heading1"/>
      </w:pPr>
      <w:bookmarkStart w:id="0" w:name="_Toc260139512"/>
    </w:p>
    <w:p w14:paraId="0A645165" w14:textId="77777777" w:rsidR="00540E67" w:rsidRDefault="00540E67" w:rsidP="000F7654">
      <w:pPr>
        <w:pStyle w:val="Heading1"/>
      </w:pPr>
    </w:p>
    <w:p w14:paraId="3C178AB8" w14:textId="77777777" w:rsidR="00540E67" w:rsidRDefault="00540E67" w:rsidP="000F7654">
      <w:pPr>
        <w:pStyle w:val="Heading1"/>
      </w:pPr>
    </w:p>
    <w:bookmarkEnd w:id="0"/>
    <w:p w14:paraId="1B6EB247" w14:textId="77777777" w:rsidR="000F7654" w:rsidRPr="000F7654" w:rsidRDefault="000F7654"/>
    <w:sectPr w:rsidR="000F7654" w:rsidRPr="000F765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E9C95" w14:textId="77777777" w:rsidR="00E93FC7" w:rsidRDefault="00E93FC7" w:rsidP="000F7654">
      <w:pPr>
        <w:spacing w:after="0" w:line="240" w:lineRule="auto"/>
      </w:pPr>
      <w:r>
        <w:separator/>
      </w:r>
    </w:p>
  </w:endnote>
  <w:endnote w:type="continuationSeparator" w:id="0">
    <w:p w14:paraId="675ED1BE" w14:textId="77777777" w:rsidR="00E93FC7" w:rsidRDefault="00E93FC7" w:rsidP="000F7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FF627" w14:textId="77777777" w:rsidR="00E93FC7" w:rsidRDefault="00E93FC7" w:rsidP="000F7654">
      <w:pPr>
        <w:spacing w:after="0" w:line="240" w:lineRule="auto"/>
      </w:pPr>
      <w:r>
        <w:separator/>
      </w:r>
    </w:p>
  </w:footnote>
  <w:footnote w:type="continuationSeparator" w:id="0">
    <w:p w14:paraId="0F5B065E" w14:textId="77777777" w:rsidR="00E93FC7" w:rsidRDefault="00E93FC7" w:rsidP="000F7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8964" w14:textId="77777777" w:rsidR="000F7654" w:rsidRPr="00BE4FAA" w:rsidRDefault="00BE4FAA" w:rsidP="00BE4FAA">
    <w:pPr>
      <w:pStyle w:val="Header"/>
    </w:pPr>
    <w:r>
      <w:rPr>
        <w:noProof/>
      </w:rPr>
      <w:drawing>
        <wp:inline distT="0" distB="0" distL="0" distR="0" wp14:anchorId="534A3E22" wp14:editId="623E739E">
          <wp:extent cx="680030" cy="698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90394" cy="709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05D1F"/>
    <w:multiLevelType w:val="hybridMultilevel"/>
    <w:tmpl w:val="6E24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4237F2"/>
    <w:multiLevelType w:val="hybridMultilevel"/>
    <w:tmpl w:val="E996AF68"/>
    <w:lvl w:ilvl="0" w:tplc="0409000B">
      <w:start w:val="1"/>
      <w:numFmt w:val="bullet"/>
      <w:pStyle w:val="Bullet1"/>
      <w:lvlText w:val=""/>
      <w:lvlJc w:val="left"/>
      <w:pPr>
        <w:tabs>
          <w:tab w:val="num" w:pos="0"/>
        </w:tabs>
        <w:ind w:left="360" w:hanging="360"/>
      </w:pPr>
      <w:rPr>
        <w:rFonts w:ascii="Wingdings" w:hAnsi="Wingdings" w:hint="default"/>
        <w:color w:val="182E5C"/>
      </w:rPr>
    </w:lvl>
    <w:lvl w:ilvl="1" w:tplc="0409000B">
      <w:start w:val="1"/>
      <w:numFmt w:val="decimal"/>
      <w:lvlText w:val="%2."/>
      <w:lvlJc w:val="left"/>
      <w:pPr>
        <w:tabs>
          <w:tab w:val="num" w:pos="1440"/>
        </w:tabs>
        <w:ind w:left="1440" w:hanging="360"/>
      </w:pPr>
      <w:rPr>
        <w:rFonts w:hint="default"/>
        <w:color w:val="6C36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0978FF"/>
    <w:multiLevelType w:val="hybridMultilevel"/>
    <w:tmpl w:val="25523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799691">
    <w:abstractNumId w:val="1"/>
  </w:num>
  <w:num w:numId="2" w16cid:durableId="1650597460">
    <w:abstractNumId w:val="1"/>
    <w:lvlOverride w:ilvl="0"/>
    <w:lvlOverride w:ilvl="1">
      <w:startOverride w:val="1"/>
    </w:lvlOverride>
    <w:lvlOverride w:ilvl="2"/>
    <w:lvlOverride w:ilvl="3"/>
    <w:lvlOverride w:ilvl="4"/>
    <w:lvlOverride w:ilvl="5"/>
    <w:lvlOverride w:ilvl="6"/>
    <w:lvlOverride w:ilvl="7"/>
    <w:lvlOverride w:ilvl="8"/>
  </w:num>
  <w:num w:numId="3" w16cid:durableId="909312254">
    <w:abstractNumId w:val="0"/>
  </w:num>
  <w:num w:numId="4" w16cid:durableId="113259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54"/>
    <w:rsid w:val="0001257F"/>
    <w:rsid w:val="0005648C"/>
    <w:rsid w:val="000863C2"/>
    <w:rsid w:val="000B7406"/>
    <w:rsid w:val="000F7654"/>
    <w:rsid w:val="001015BA"/>
    <w:rsid w:val="001532C3"/>
    <w:rsid w:val="001D4EBC"/>
    <w:rsid w:val="00261A30"/>
    <w:rsid w:val="002C142A"/>
    <w:rsid w:val="002F00F5"/>
    <w:rsid w:val="0032680F"/>
    <w:rsid w:val="00357781"/>
    <w:rsid w:val="00391A2E"/>
    <w:rsid w:val="003B4A84"/>
    <w:rsid w:val="003B7364"/>
    <w:rsid w:val="003E22DC"/>
    <w:rsid w:val="003F33D1"/>
    <w:rsid w:val="004606AC"/>
    <w:rsid w:val="004B0FA1"/>
    <w:rsid w:val="004C0A38"/>
    <w:rsid w:val="004E58E4"/>
    <w:rsid w:val="00540E67"/>
    <w:rsid w:val="005B1EDF"/>
    <w:rsid w:val="005E3424"/>
    <w:rsid w:val="005F1A52"/>
    <w:rsid w:val="00622149"/>
    <w:rsid w:val="006376A8"/>
    <w:rsid w:val="00653E5A"/>
    <w:rsid w:val="006646B7"/>
    <w:rsid w:val="00686F7B"/>
    <w:rsid w:val="007051DA"/>
    <w:rsid w:val="00781DA4"/>
    <w:rsid w:val="007B1BAC"/>
    <w:rsid w:val="007D3AEE"/>
    <w:rsid w:val="00833211"/>
    <w:rsid w:val="0083633A"/>
    <w:rsid w:val="0086261C"/>
    <w:rsid w:val="00884C7E"/>
    <w:rsid w:val="008910EE"/>
    <w:rsid w:val="00913BBF"/>
    <w:rsid w:val="00956C11"/>
    <w:rsid w:val="0098178C"/>
    <w:rsid w:val="0098617D"/>
    <w:rsid w:val="009A0A3F"/>
    <w:rsid w:val="00A30F9F"/>
    <w:rsid w:val="00A52E44"/>
    <w:rsid w:val="00A77CA9"/>
    <w:rsid w:val="00A87B18"/>
    <w:rsid w:val="00B93AB6"/>
    <w:rsid w:val="00BB1E00"/>
    <w:rsid w:val="00BC3621"/>
    <w:rsid w:val="00BE4FAA"/>
    <w:rsid w:val="00BE5EAB"/>
    <w:rsid w:val="00C37228"/>
    <w:rsid w:val="00C40BC9"/>
    <w:rsid w:val="00CB48F8"/>
    <w:rsid w:val="00CD641A"/>
    <w:rsid w:val="00D6566B"/>
    <w:rsid w:val="00DB2BB9"/>
    <w:rsid w:val="00DD7C48"/>
    <w:rsid w:val="00E1033F"/>
    <w:rsid w:val="00E37FA6"/>
    <w:rsid w:val="00E7078A"/>
    <w:rsid w:val="00E72D9B"/>
    <w:rsid w:val="00E817CF"/>
    <w:rsid w:val="00E93FC7"/>
    <w:rsid w:val="00F350BB"/>
    <w:rsid w:val="00F7643C"/>
    <w:rsid w:val="00FB3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E9C2"/>
  <w15:chartTrackingRefBased/>
  <w15:docId w15:val="{33F34387-D19A-47D8-B3D0-5F8F72FE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654"/>
    <w:pPr>
      <w:spacing w:after="200" w:line="276" w:lineRule="auto"/>
    </w:pPr>
    <w:rPr>
      <w:rFonts w:ascii="Calibri" w:eastAsia="Times New Roman" w:hAnsi="Calibri" w:cs="Times New Roman"/>
      <w:lang w:val="en-US" w:bidi="en-US"/>
    </w:rPr>
  </w:style>
  <w:style w:type="paragraph" w:styleId="Heading1">
    <w:name w:val="heading 1"/>
    <w:basedOn w:val="Normal"/>
    <w:next w:val="Normal"/>
    <w:link w:val="Heading1Char"/>
    <w:qFormat/>
    <w:rsid w:val="000F765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F765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7654"/>
    <w:rPr>
      <w:rFonts w:asciiTheme="majorHAnsi" w:eastAsiaTheme="majorEastAsia" w:hAnsiTheme="majorHAnsi" w:cstheme="majorBidi"/>
      <w:b/>
      <w:bCs/>
      <w:color w:val="2F5496" w:themeColor="accent1" w:themeShade="BF"/>
      <w:sz w:val="28"/>
      <w:szCs w:val="28"/>
      <w:lang w:val="en-US" w:bidi="en-US"/>
    </w:rPr>
  </w:style>
  <w:style w:type="character" w:customStyle="1" w:styleId="Heading2Char">
    <w:name w:val="Heading 2 Char"/>
    <w:basedOn w:val="DefaultParagraphFont"/>
    <w:link w:val="Heading2"/>
    <w:uiPriority w:val="9"/>
    <w:rsid w:val="000F7654"/>
    <w:rPr>
      <w:rFonts w:asciiTheme="majorHAnsi" w:eastAsiaTheme="majorEastAsia" w:hAnsiTheme="majorHAnsi" w:cstheme="majorBidi"/>
      <w:b/>
      <w:bCs/>
      <w:color w:val="4472C4" w:themeColor="accent1"/>
      <w:sz w:val="26"/>
      <w:szCs w:val="26"/>
      <w:lang w:val="en-US" w:bidi="en-US"/>
    </w:rPr>
  </w:style>
  <w:style w:type="paragraph" w:styleId="ListParagraph">
    <w:name w:val="List Paragraph"/>
    <w:basedOn w:val="Normal"/>
    <w:link w:val="ListParagraphChar"/>
    <w:uiPriority w:val="34"/>
    <w:qFormat/>
    <w:rsid w:val="000F7654"/>
    <w:pPr>
      <w:ind w:left="720"/>
      <w:contextualSpacing/>
    </w:pPr>
  </w:style>
  <w:style w:type="table" w:styleId="TableGrid">
    <w:name w:val="Table Grid"/>
    <w:basedOn w:val="TableNormal"/>
    <w:uiPriority w:val="59"/>
    <w:rsid w:val="000F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link w:val="Bullet1CharChar"/>
    <w:rsid w:val="000F7654"/>
    <w:pPr>
      <w:numPr>
        <w:numId w:val="1"/>
      </w:numPr>
      <w:spacing w:before="160" w:after="160" w:line="240" w:lineRule="auto"/>
      <w:jc w:val="both"/>
    </w:pPr>
    <w:rPr>
      <w:rFonts w:ascii="Arial" w:hAnsi="Arial" w:cs="Arial"/>
      <w:color w:val="4D4D4D"/>
      <w:lang w:val="en-GB" w:bidi="ar-SA"/>
    </w:rPr>
  </w:style>
  <w:style w:type="character" w:customStyle="1" w:styleId="Bullet1CharChar">
    <w:name w:val="Bullet 1 Char Char"/>
    <w:link w:val="Bullet1"/>
    <w:rsid w:val="000F7654"/>
    <w:rPr>
      <w:rFonts w:ascii="Arial" w:eastAsia="Times New Roman" w:hAnsi="Arial" w:cs="Arial"/>
      <w:color w:val="4D4D4D"/>
    </w:rPr>
  </w:style>
  <w:style w:type="paragraph" w:styleId="Header">
    <w:name w:val="header"/>
    <w:basedOn w:val="Normal"/>
    <w:link w:val="HeaderChar"/>
    <w:uiPriority w:val="99"/>
    <w:unhideWhenUsed/>
    <w:rsid w:val="000F7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654"/>
    <w:rPr>
      <w:rFonts w:ascii="Calibri" w:eastAsia="Times New Roman" w:hAnsi="Calibri" w:cs="Times New Roman"/>
      <w:lang w:val="en-US" w:bidi="en-US"/>
    </w:rPr>
  </w:style>
  <w:style w:type="paragraph" w:styleId="Footer">
    <w:name w:val="footer"/>
    <w:basedOn w:val="Normal"/>
    <w:link w:val="FooterChar"/>
    <w:uiPriority w:val="99"/>
    <w:unhideWhenUsed/>
    <w:rsid w:val="000F76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654"/>
    <w:rPr>
      <w:rFonts w:ascii="Calibri" w:eastAsia="Times New Roman" w:hAnsi="Calibri" w:cs="Times New Roman"/>
      <w:lang w:val="en-US" w:bidi="en-US"/>
    </w:rPr>
  </w:style>
  <w:style w:type="character" w:customStyle="1" w:styleId="ListParagraphChar">
    <w:name w:val="List Paragraph Char"/>
    <w:link w:val="ListParagraph"/>
    <w:uiPriority w:val="34"/>
    <w:rsid w:val="00A87B18"/>
    <w:rPr>
      <w:rFonts w:ascii="Calibri" w:eastAsia="Times New Roman" w:hAnsi="Calibri" w:cs="Times New Roman"/>
      <w:lang w:val="en-US" w:bidi="en-US"/>
    </w:rPr>
  </w:style>
  <w:style w:type="character" w:styleId="Hyperlink">
    <w:name w:val="Hyperlink"/>
    <w:basedOn w:val="DefaultParagraphFont"/>
    <w:uiPriority w:val="99"/>
    <w:unhideWhenUsed/>
    <w:rsid w:val="00A87B18"/>
    <w:rPr>
      <w:strike w:val="0"/>
      <w:dstrike w:val="0"/>
      <w:color w:val="045D9D"/>
      <w:u w:val="none"/>
      <w:effect w:val="none"/>
    </w:rPr>
  </w:style>
  <w:style w:type="paragraph" w:styleId="TOC1">
    <w:name w:val="toc 1"/>
    <w:basedOn w:val="Normal"/>
    <w:next w:val="Normal"/>
    <w:autoRedefine/>
    <w:uiPriority w:val="39"/>
    <w:unhideWhenUsed/>
    <w:rsid w:val="0005648C"/>
    <w:pPr>
      <w:tabs>
        <w:tab w:val="left" w:pos="440"/>
        <w:tab w:val="right" w:leader="dot" w:pos="9350"/>
      </w:tabs>
      <w:spacing w:after="100" w:line="259" w:lineRule="auto"/>
    </w:pPr>
    <w:rPr>
      <w:rFonts w:ascii="Arial" w:eastAsiaTheme="minorEastAsia" w:hAnsi="Arial" w:cs="Arial"/>
      <w:noProof/>
      <w:kern w:val="28"/>
      <w:sz w:val="20"/>
      <w:lang w:val="en-GB" w:bidi="ar-SA"/>
    </w:rPr>
  </w:style>
  <w:style w:type="paragraph" w:styleId="TOC2">
    <w:name w:val="toc 2"/>
    <w:basedOn w:val="Normal"/>
    <w:next w:val="Normal"/>
    <w:autoRedefine/>
    <w:uiPriority w:val="39"/>
    <w:unhideWhenUsed/>
    <w:rsid w:val="0005648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554566">
      <w:bodyDiv w:val="1"/>
      <w:marLeft w:val="0"/>
      <w:marRight w:val="0"/>
      <w:marTop w:val="0"/>
      <w:marBottom w:val="0"/>
      <w:divBdr>
        <w:top w:val="none" w:sz="0" w:space="0" w:color="auto"/>
        <w:left w:val="none" w:sz="0" w:space="0" w:color="auto"/>
        <w:bottom w:val="none" w:sz="0" w:space="0" w:color="auto"/>
        <w:right w:val="none" w:sz="0" w:space="0" w:color="auto"/>
      </w:divBdr>
    </w:div>
    <w:div w:id="820196943">
      <w:bodyDiv w:val="1"/>
      <w:marLeft w:val="0"/>
      <w:marRight w:val="0"/>
      <w:marTop w:val="0"/>
      <w:marBottom w:val="0"/>
      <w:divBdr>
        <w:top w:val="none" w:sz="0" w:space="0" w:color="auto"/>
        <w:left w:val="none" w:sz="0" w:space="0" w:color="auto"/>
        <w:bottom w:val="none" w:sz="0" w:space="0" w:color="auto"/>
        <w:right w:val="none" w:sz="0" w:space="0" w:color="auto"/>
      </w:divBdr>
    </w:div>
    <w:div w:id="842471429">
      <w:bodyDiv w:val="1"/>
      <w:marLeft w:val="0"/>
      <w:marRight w:val="0"/>
      <w:marTop w:val="0"/>
      <w:marBottom w:val="0"/>
      <w:divBdr>
        <w:top w:val="none" w:sz="0" w:space="0" w:color="auto"/>
        <w:left w:val="none" w:sz="0" w:space="0" w:color="auto"/>
        <w:bottom w:val="none" w:sz="0" w:space="0" w:color="auto"/>
        <w:right w:val="none" w:sz="0" w:space="0" w:color="auto"/>
      </w:divBdr>
    </w:div>
    <w:div w:id="1131283969">
      <w:bodyDiv w:val="1"/>
      <w:marLeft w:val="0"/>
      <w:marRight w:val="0"/>
      <w:marTop w:val="0"/>
      <w:marBottom w:val="0"/>
      <w:divBdr>
        <w:top w:val="none" w:sz="0" w:space="0" w:color="auto"/>
        <w:left w:val="none" w:sz="0" w:space="0" w:color="auto"/>
        <w:bottom w:val="none" w:sz="0" w:space="0" w:color="auto"/>
        <w:right w:val="none" w:sz="0" w:space="0" w:color="auto"/>
      </w:divBdr>
    </w:div>
    <w:div w:id="1471556269">
      <w:bodyDiv w:val="1"/>
      <w:marLeft w:val="0"/>
      <w:marRight w:val="0"/>
      <w:marTop w:val="0"/>
      <w:marBottom w:val="0"/>
      <w:divBdr>
        <w:top w:val="none" w:sz="0" w:space="0" w:color="auto"/>
        <w:left w:val="none" w:sz="0" w:space="0" w:color="auto"/>
        <w:bottom w:val="none" w:sz="0" w:space="0" w:color="auto"/>
        <w:right w:val="none" w:sz="0" w:space="0" w:color="auto"/>
      </w:divBdr>
    </w:div>
    <w:div w:id="1940867665">
      <w:bodyDiv w:val="1"/>
      <w:marLeft w:val="0"/>
      <w:marRight w:val="0"/>
      <w:marTop w:val="0"/>
      <w:marBottom w:val="0"/>
      <w:divBdr>
        <w:top w:val="none" w:sz="0" w:space="0" w:color="auto"/>
        <w:left w:val="none" w:sz="0" w:space="0" w:color="auto"/>
        <w:bottom w:val="none" w:sz="0" w:space="0" w:color="auto"/>
        <w:right w:val="none" w:sz="0" w:space="0" w:color="auto"/>
      </w:divBdr>
    </w:div>
    <w:div w:id="194164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Graham</dc:creator>
  <cp:keywords/>
  <dc:description/>
  <cp:lastModifiedBy>Wayne Davis</cp:lastModifiedBy>
  <cp:revision>4</cp:revision>
  <cp:lastPrinted>2024-06-25T15:01:00Z</cp:lastPrinted>
  <dcterms:created xsi:type="dcterms:W3CDTF">2025-02-14T16:22:00Z</dcterms:created>
  <dcterms:modified xsi:type="dcterms:W3CDTF">2025-02-14T16:23:00Z</dcterms:modified>
</cp:coreProperties>
</file>